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5D6C6" w14:textId="632F795B" w:rsidR="003D056C" w:rsidRPr="004D5D9A" w:rsidRDefault="003D056C" w:rsidP="00A32CB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D5D9A">
        <w:rPr>
          <w:rFonts w:ascii="Times New Roman" w:eastAsia="Times New Roman" w:hAnsi="Times New Roman" w:cs="Times New Roman"/>
          <w:b/>
          <w:bCs/>
          <w:color w:val="000000"/>
        </w:rPr>
        <w:t>REPÚBLICA DEL ECUADOR</w:t>
      </w:r>
    </w:p>
    <w:p w14:paraId="1915D098" w14:textId="4718B7FC" w:rsidR="003D27F6" w:rsidRPr="004D5D9A" w:rsidRDefault="003D27F6" w:rsidP="00A32CBD">
      <w:pPr>
        <w:pStyle w:val="Ttulo1"/>
        <w:ind w:left="567"/>
        <w:rPr>
          <w:rFonts w:ascii="Times New Roman" w:hAnsi="Times New Roman"/>
          <w:bCs/>
          <w:sz w:val="22"/>
          <w:szCs w:val="22"/>
          <w:lang w:val="es-AR"/>
        </w:rPr>
      </w:pPr>
      <w:r w:rsidRPr="004D5D9A">
        <w:rPr>
          <w:rFonts w:ascii="Times New Roman" w:hAnsi="Times New Roman"/>
          <w:bCs/>
          <w:sz w:val="22"/>
          <w:szCs w:val="22"/>
          <w:lang w:val="es-AR"/>
        </w:rPr>
        <w:t>MINISTERIO DE TRANSPORTE Y OBRAS PÚBLICAS</w:t>
      </w:r>
    </w:p>
    <w:p w14:paraId="34E30668" w14:textId="02785E5E" w:rsidR="007801C9" w:rsidRPr="004D5D9A" w:rsidRDefault="007801C9" w:rsidP="00A32CB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D5D9A">
        <w:rPr>
          <w:rFonts w:ascii="Times New Roman" w:eastAsia="Times New Roman" w:hAnsi="Times New Roman" w:cs="Times New Roman"/>
          <w:b/>
          <w:bCs/>
          <w:color w:val="000000"/>
        </w:rPr>
        <w:t xml:space="preserve">SELECCION DE CONSULTORES </w:t>
      </w:r>
    </w:p>
    <w:p w14:paraId="433E21CD" w14:textId="4F249FB0" w:rsidR="003D27F6" w:rsidRPr="004D5D9A" w:rsidRDefault="003D27F6" w:rsidP="00A32CB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D5D9A">
        <w:rPr>
          <w:rFonts w:ascii="Times New Roman" w:eastAsia="Times New Roman" w:hAnsi="Times New Roman" w:cs="Times New Roman"/>
          <w:b/>
          <w:bCs/>
          <w:color w:val="000000"/>
        </w:rPr>
        <w:t xml:space="preserve">FISCALIZACIÓN DE LA RECONSTRUCCIÓN DE </w:t>
      </w:r>
      <w:r w:rsidR="004450F1">
        <w:rPr>
          <w:rFonts w:ascii="Times New Roman" w:eastAsia="Times New Roman" w:hAnsi="Times New Roman" w:cs="Times New Roman"/>
          <w:b/>
          <w:bCs/>
          <w:color w:val="000000"/>
        </w:rPr>
        <w:t xml:space="preserve">LA </w:t>
      </w:r>
      <w:r w:rsidR="00BF573A" w:rsidRPr="004D5D9A">
        <w:rPr>
          <w:rFonts w:ascii="Times New Roman" w:eastAsia="Times New Roman" w:hAnsi="Times New Roman" w:cs="Times New Roman"/>
          <w:b/>
          <w:bCs/>
          <w:color w:val="000000"/>
        </w:rPr>
        <w:t>“II ETAPA DE RECONSTRUCCIÓN DE SISTEMAS HIDROSANITARIOS AFECTADOS POR EL TERREMOTO DEL 16 DE ABRIL DEL 2016, UBICADOS EN LOS SECTORES DE TARQUI Y DE LOS ESTEROS (TARQUI-LOS ESTEROS FASE II)</w:t>
      </w:r>
      <w:r w:rsidR="00133D47" w:rsidRPr="004D5D9A">
        <w:rPr>
          <w:rFonts w:ascii="Times New Roman" w:eastAsia="Times New Roman" w:hAnsi="Times New Roman" w:cs="Times New Roman"/>
          <w:b/>
          <w:bCs/>
          <w:color w:val="000000"/>
        </w:rPr>
        <w:t xml:space="preserve"> DE LA CIUDAD DE MANTA, </w:t>
      </w:r>
      <w:r w:rsidRPr="004D5D9A">
        <w:rPr>
          <w:rFonts w:ascii="Times New Roman" w:eastAsia="Times New Roman" w:hAnsi="Times New Roman" w:cs="Times New Roman"/>
          <w:b/>
          <w:bCs/>
          <w:color w:val="000000"/>
        </w:rPr>
        <w:t>EN LA PROVINCIA DE MANABÍ</w:t>
      </w:r>
      <w:r w:rsidR="00BF573A" w:rsidRPr="004D5D9A">
        <w:rPr>
          <w:rFonts w:ascii="Times New Roman" w:eastAsia="Times New Roman" w:hAnsi="Times New Roman" w:cs="Times New Roman"/>
          <w:b/>
          <w:bCs/>
          <w:color w:val="000000"/>
        </w:rPr>
        <w:t>”</w:t>
      </w:r>
    </w:p>
    <w:p w14:paraId="4810F4E6" w14:textId="77777777" w:rsidR="007801C9" w:rsidRPr="004D5D9A" w:rsidRDefault="007801C9" w:rsidP="00A32CB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D5D9A">
        <w:rPr>
          <w:rFonts w:ascii="Times New Roman" w:eastAsia="Times New Roman" w:hAnsi="Times New Roman" w:cs="Times New Roman"/>
          <w:b/>
          <w:color w:val="000000"/>
        </w:rPr>
        <w:t>INVITACION A PRESENTAR EXPRESIONES DE INTERES</w:t>
      </w:r>
    </w:p>
    <w:p w14:paraId="55FEE60E" w14:textId="679E6920" w:rsidR="007801C9" w:rsidRPr="004D5D9A" w:rsidRDefault="006D4CB1" w:rsidP="00A32CB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D5D9A">
        <w:rPr>
          <w:rFonts w:ascii="Times New Roman" w:eastAsia="Times New Roman" w:hAnsi="Times New Roman" w:cs="Times New Roman"/>
          <w:b/>
          <w:color w:val="000000"/>
        </w:rPr>
        <w:t>PRÉSTAMO</w:t>
      </w:r>
      <w:r w:rsidR="00F31625" w:rsidRPr="004D5D9A">
        <w:rPr>
          <w:rFonts w:ascii="Times New Roman" w:eastAsia="Times New Roman" w:hAnsi="Times New Roman" w:cs="Times New Roman"/>
          <w:b/>
          <w:color w:val="000000"/>
        </w:rPr>
        <w:t xml:space="preserve"> BEI </w:t>
      </w:r>
      <w:r w:rsidR="003D27F6" w:rsidRPr="004D5D9A">
        <w:rPr>
          <w:rFonts w:ascii="Times New Roman" w:eastAsia="Times New Roman" w:hAnsi="Times New Roman" w:cs="Times New Roman"/>
          <w:b/>
          <w:color w:val="000000"/>
        </w:rPr>
        <w:t>No.</w:t>
      </w:r>
      <w:r w:rsidR="00C82FB1" w:rsidRPr="004D5D9A">
        <w:rPr>
          <w:rFonts w:ascii="Times New Roman" w:eastAsia="Times New Roman" w:hAnsi="Times New Roman" w:cs="Times New Roman"/>
          <w:b/>
          <w:color w:val="000000"/>
        </w:rPr>
        <w:t xml:space="preserve"> FI</w:t>
      </w:r>
      <w:r w:rsidR="003D27F6" w:rsidRPr="004D5D9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bookmarkStart w:id="0" w:name="_Hlk44421336"/>
      <w:r w:rsidR="003D27F6" w:rsidRPr="004D5D9A">
        <w:rPr>
          <w:rFonts w:ascii="Times New Roman" w:eastAsia="Times New Roman" w:hAnsi="Times New Roman" w:cs="Times New Roman"/>
          <w:b/>
          <w:color w:val="000000"/>
        </w:rPr>
        <w:t>86381</w:t>
      </w:r>
      <w:bookmarkEnd w:id="0"/>
    </w:p>
    <w:p w14:paraId="5B377AD4" w14:textId="15682C65" w:rsidR="003D27F6" w:rsidRPr="00EA1BD6" w:rsidRDefault="003D056C" w:rsidP="00A32CBD">
      <w:pPr>
        <w:widowControl w:val="0"/>
        <w:spacing w:before="240" w:after="200" w:line="240" w:lineRule="auto"/>
        <w:jc w:val="both"/>
        <w:rPr>
          <w:rFonts w:ascii="Times New Roman" w:hAnsi="Times New Roman" w:cs="Times New Roman"/>
        </w:rPr>
      </w:pPr>
      <w:r w:rsidRPr="004D5D9A">
        <w:rPr>
          <w:rFonts w:ascii="Times New Roman" w:hAnsi="Times New Roman" w:cs="Times New Roman"/>
        </w:rPr>
        <w:t xml:space="preserve">La </w:t>
      </w:r>
      <w:r w:rsidR="00C12427" w:rsidRPr="004D5D9A">
        <w:rPr>
          <w:rFonts w:ascii="Times New Roman" w:hAnsi="Times New Roman" w:cs="Times New Roman"/>
        </w:rPr>
        <w:t>República del Ecuador</w:t>
      </w:r>
      <w:r w:rsidRPr="004D5D9A">
        <w:rPr>
          <w:rFonts w:ascii="Times New Roman" w:hAnsi="Times New Roman" w:cs="Times New Roman"/>
        </w:rPr>
        <w:t xml:space="preserve"> </w:t>
      </w:r>
      <w:r w:rsidR="007801C9" w:rsidRPr="004D5D9A">
        <w:rPr>
          <w:rFonts w:ascii="Times New Roman" w:hAnsi="Times New Roman" w:cs="Times New Roman"/>
        </w:rPr>
        <w:t xml:space="preserve">ha recibido </w:t>
      </w:r>
      <w:r w:rsidR="00895BD4" w:rsidRPr="004D5D9A">
        <w:rPr>
          <w:rFonts w:ascii="Times New Roman" w:hAnsi="Times New Roman" w:cs="Times New Roman"/>
        </w:rPr>
        <w:t xml:space="preserve">un </w:t>
      </w:r>
      <w:r w:rsidR="007801C9" w:rsidRPr="004D5D9A">
        <w:rPr>
          <w:rFonts w:ascii="Times New Roman" w:hAnsi="Times New Roman" w:cs="Times New Roman"/>
        </w:rPr>
        <w:t>préstamo</w:t>
      </w:r>
      <w:r w:rsidR="00895BD4" w:rsidRPr="004D5D9A">
        <w:rPr>
          <w:rFonts w:ascii="Times New Roman" w:hAnsi="Times New Roman" w:cs="Times New Roman"/>
        </w:rPr>
        <w:t xml:space="preserve"> </w:t>
      </w:r>
      <w:r w:rsidR="007801C9" w:rsidRPr="004D5D9A">
        <w:rPr>
          <w:rFonts w:ascii="Times New Roman" w:hAnsi="Times New Roman" w:cs="Times New Roman"/>
        </w:rPr>
        <w:t xml:space="preserve">del Banco </w:t>
      </w:r>
      <w:r w:rsidR="000F1540" w:rsidRPr="004D5D9A">
        <w:rPr>
          <w:rFonts w:ascii="Times New Roman" w:hAnsi="Times New Roman" w:cs="Times New Roman"/>
        </w:rPr>
        <w:t>Europeo de Inversiones</w:t>
      </w:r>
      <w:r w:rsidR="007801C9" w:rsidRPr="004D5D9A">
        <w:rPr>
          <w:rFonts w:ascii="Times New Roman" w:hAnsi="Times New Roman" w:cs="Times New Roman"/>
        </w:rPr>
        <w:t xml:space="preserve"> (B</w:t>
      </w:r>
      <w:r w:rsidR="000F1540" w:rsidRPr="004D5D9A">
        <w:rPr>
          <w:rFonts w:ascii="Times New Roman" w:hAnsi="Times New Roman" w:cs="Times New Roman"/>
        </w:rPr>
        <w:t>EI</w:t>
      </w:r>
      <w:r w:rsidR="007801C9" w:rsidRPr="004D5D9A">
        <w:rPr>
          <w:rFonts w:ascii="Times New Roman" w:hAnsi="Times New Roman" w:cs="Times New Roman"/>
        </w:rPr>
        <w:t xml:space="preserve">) para </w:t>
      </w:r>
      <w:r w:rsidR="003D27F6" w:rsidRPr="004D5D9A">
        <w:rPr>
          <w:rFonts w:ascii="Times New Roman" w:hAnsi="Times New Roman" w:cs="Times New Roman"/>
        </w:rPr>
        <w:t xml:space="preserve">la reconstrucción de infraestructuras afectadas por el terremoto del 16 de abril de 2016 </w:t>
      </w:r>
      <w:r w:rsidR="006D4CB1" w:rsidRPr="004D5D9A">
        <w:rPr>
          <w:rFonts w:ascii="Times New Roman" w:hAnsi="Times New Roman" w:cs="Times New Roman"/>
        </w:rPr>
        <w:t>contempladas</w:t>
      </w:r>
      <w:r w:rsidR="003D27F6" w:rsidRPr="004D5D9A">
        <w:rPr>
          <w:rFonts w:ascii="Times New Roman" w:hAnsi="Times New Roman" w:cs="Times New Roman"/>
        </w:rPr>
        <w:t xml:space="preserve"> en </w:t>
      </w:r>
      <w:r w:rsidR="007801C9" w:rsidRPr="004D5D9A">
        <w:rPr>
          <w:rFonts w:ascii="Times New Roman" w:hAnsi="Times New Roman" w:cs="Times New Roman"/>
        </w:rPr>
        <w:t xml:space="preserve">el </w:t>
      </w:r>
      <w:r w:rsidR="00C12427" w:rsidRPr="004D5D9A">
        <w:rPr>
          <w:rFonts w:ascii="Times New Roman" w:hAnsi="Times New Roman" w:cs="Times New Roman"/>
        </w:rPr>
        <w:t>p</w:t>
      </w:r>
      <w:r w:rsidR="007801C9" w:rsidRPr="004D5D9A">
        <w:rPr>
          <w:rFonts w:ascii="Times New Roman" w:hAnsi="Times New Roman" w:cs="Times New Roman"/>
        </w:rPr>
        <w:t xml:space="preserve">royecto </w:t>
      </w:r>
      <w:r w:rsidR="00895BD4" w:rsidRPr="004D5D9A">
        <w:rPr>
          <w:rFonts w:ascii="Times New Roman" w:hAnsi="Times New Roman" w:cs="Times New Roman"/>
        </w:rPr>
        <w:t>“Reconstrucción Post-Terremoto Préstamo Marco”</w:t>
      </w:r>
      <w:r w:rsidR="000F1540" w:rsidRPr="004D5D9A">
        <w:rPr>
          <w:rFonts w:ascii="Times New Roman" w:hAnsi="Times New Roman" w:cs="Times New Roman"/>
        </w:rPr>
        <w:t xml:space="preserve">, </w:t>
      </w:r>
      <w:r w:rsidR="003D27F6" w:rsidRPr="004D5D9A">
        <w:rPr>
          <w:rFonts w:ascii="Times New Roman" w:hAnsi="Times New Roman" w:cs="Times New Roman"/>
        </w:rPr>
        <w:t>a implementarse en las provincias de Manabí y Esmeraldas</w:t>
      </w:r>
      <w:r w:rsidR="007801C9" w:rsidRPr="004D5D9A">
        <w:rPr>
          <w:rFonts w:ascii="Times New Roman" w:hAnsi="Times New Roman" w:cs="Times New Roman"/>
        </w:rPr>
        <w:t xml:space="preserve">, y se propone utilizar parte de los fondos </w:t>
      </w:r>
      <w:r w:rsidR="00FA386C" w:rsidRPr="004D5D9A">
        <w:rPr>
          <w:rFonts w:ascii="Times New Roman" w:hAnsi="Times New Roman" w:cs="Times New Roman"/>
        </w:rPr>
        <w:t>de es</w:t>
      </w:r>
      <w:r w:rsidR="00895BD4" w:rsidRPr="004D5D9A">
        <w:rPr>
          <w:rFonts w:ascii="Times New Roman" w:hAnsi="Times New Roman" w:cs="Times New Roman"/>
        </w:rPr>
        <w:t>e</w:t>
      </w:r>
      <w:r w:rsidR="00FA386C" w:rsidRPr="004D5D9A">
        <w:rPr>
          <w:rFonts w:ascii="Times New Roman" w:hAnsi="Times New Roman" w:cs="Times New Roman"/>
        </w:rPr>
        <w:t xml:space="preserve"> préstamo </w:t>
      </w:r>
      <w:r w:rsidR="007801C9" w:rsidRPr="004D5D9A">
        <w:rPr>
          <w:rFonts w:ascii="Times New Roman" w:hAnsi="Times New Roman" w:cs="Times New Roman"/>
        </w:rPr>
        <w:t>para</w:t>
      </w:r>
      <w:r w:rsidR="000F1540" w:rsidRPr="004D5D9A">
        <w:rPr>
          <w:rFonts w:ascii="Times New Roman" w:hAnsi="Times New Roman" w:cs="Times New Roman"/>
        </w:rPr>
        <w:t xml:space="preserve"> </w:t>
      </w:r>
      <w:r w:rsidR="007801C9" w:rsidRPr="004D5D9A">
        <w:rPr>
          <w:rFonts w:ascii="Times New Roman" w:hAnsi="Times New Roman" w:cs="Times New Roman"/>
        </w:rPr>
        <w:t xml:space="preserve">efectuar los pagos contemplados </w:t>
      </w:r>
      <w:r w:rsidR="00A92EF6" w:rsidRPr="004D5D9A">
        <w:rPr>
          <w:rFonts w:ascii="Times New Roman" w:hAnsi="Times New Roman" w:cs="Times New Roman"/>
        </w:rPr>
        <w:t>para</w:t>
      </w:r>
      <w:r w:rsidR="007801C9" w:rsidRPr="004D5D9A">
        <w:rPr>
          <w:rFonts w:ascii="Times New Roman" w:hAnsi="Times New Roman" w:cs="Times New Roman"/>
        </w:rPr>
        <w:t xml:space="preserve"> </w:t>
      </w:r>
      <w:r w:rsidR="000F1540" w:rsidRPr="004D5D9A">
        <w:rPr>
          <w:rFonts w:ascii="Times New Roman" w:hAnsi="Times New Roman" w:cs="Times New Roman"/>
        </w:rPr>
        <w:t xml:space="preserve">el </w:t>
      </w:r>
      <w:r w:rsidR="007801C9" w:rsidRPr="004D5D9A">
        <w:rPr>
          <w:rFonts w:ascii="Times New Roman" w:hAnsi="Times New Roman" w:cs="Times New Roman"/>
        </w:rPr>
        <w:t xml:space="preserve">contrato de consultoría para </w:t>
      </w:r>
      <w:r w:rsidR="0034798C" w:rsidRPr="004D5D9A">
        <w:rPr>
          <w:rFonts w:ascii="Times New Roman" w:hAnsi="Times New Roman" w:cs="Times New Roman"/>
        </w:rPr>
        <w:t>la</w:t>
      </w:r>
      <w:r w:rsidR="007801C9" w:rsidRPr="004D5D9A">
        <w:rPr>
          <w:rFonts w:ascii="Times New Roman" w:hAnsi="Times New Roman" w:cs="Times New Roman"/>
        </w:rPr>
        <w:t xml:space="preserve"> </w:t>
      </w:r>
      <w:r w:rsidR="00BF7627" w:rsidRPr="004D5D9A">
        <w:rPr>
          <w:rFonts w:ascii="Times New Roman" w:hAnsi="Times New Roman" w:cs="Times New Roman"/>
        </w:rPr>
        <w:t>f</w:t>
      </w:r>
      <w:r w:rsidR="000F1540" w:rsidRPr="004D5D9A">
        <w:rPr>
          <w:rFonts w:ascii="Times New Roman" w:hAnsi="Times New Roman" w:cs="Times New Roman"/>
        </w:rPr>
        <w:t>iscalización</w:t>
      </w:r>
      <w:r w:rsidR="007801C9" w:rsidRPr="004D5D9A">
        <w:rPr>
          <w:rFonts w:ascii="Times New Roman" w:hAnsi="Times New Roman" w:cs="Times New Roman"/>
        </w:rPr>
        <w:t xml:space="preserve"> de</w:t>
      </w:r>
      <w:r w:rsidR="000F1540" w:rsidRPr="004D5D9A">
        <w:rPr>
          <w:rFonts w:ascii="Times New Roman" w:hAnsi="Times New Roman" w:cs="Times New Roman"/>
        </w:rPr>
        <w:t xml:space="preserve"> la construcción </w:t>
      </w:r>
      <w:r w:rsidR="00895BD4" w:rsidRPr="004D5D9A">
        <w:rPr>
          <w:rFonts w:ascii="Times New Roman" w:hAnsi="Times New Roman" w:cs="Times New Roman"/>
        </w:rPr>
        <w:t>de la siguiente obr</w:t>
      </w:r>
      <w:r w:rsidR="00BF573A" w:rsidRPr="004D5D9A">
        <w:rPr>
          <w:rFonts w:ascii="Times New Roman" w:hAnsi="Times New Roman" w:cs="Times New Roman"/>
        </w:rPr>
        <w:t xml:space="preserve">a </w:t>
      </w:r>
      <w:r w:rsidR="003D27F6" w:rsidRPr="004D5D9A">
        <w:rPr>
          <w:rFonts w:ascii="Times New Roman" w:hAnsi="Times New Roman" w:cs="Times New Roman"/>
        </w:rPr>
        <w:t>ubicada en la provincia de Manabí</w:t>
      </w:r>
      <w:r w:rsidR="00895BD4" w:rsidRPr="004D5D9A">
        <w:rPr>
          <w:rFonts w:ascii="Times New Roman" w:hAnsi="Times New Roman" w:cs="Times New Roman"/>
        </w:rPr>
        <w:t>:</w:t>
      </w:r>
      <w:r w:rsidR="00EA1BD6">
        <w:rPr>
          <w:rFonts w:ascii="Times New Roman" w:hAnsi="Times New Roman" w:cs="Times New Roman"/>
        </w:rPr>
        <w:t xml:space="preserve"> </w:t>
      </w:r>
      <w:r w:rsidR="00A32CBD" w:rsidRPr="00A32CBD">
        <w:rPr>
          <w:rFonts w:cstheme="minorHAnsi"/>
          <w:b/>
          <w:i/>
          <w:iCs/>
        </w:rPr>
        <w:t>“II ETAPA DE RECONSTRUCCIÓN DE SISTEMAS HIDROSANITARIOS AFECTADOS POR EL TERREMOTO DEL 16 DE ABRIL DEL 2016, UBICADOS EN LOS SECTORES DE TARQUI Y DE LOS ESTEROS (TARQUI-</w:t>
      </w:r>
      <w:r w:rsidR="00A32CBD">
        <w:rPr>
          <w:b/>
          <w:i/>
        </w:rPr>
        <w:t>L</w:t>
      </w:r>
      <w:r w:rsidR="00A32CBD" w:rsidRPr="00EA1BD6">
        <w:rPr>
          <w:b/>
          <w:i/>
        </w:rPr>
        <w:t>OS ESTEROS FASE II)</w:t>
      </w:r>
      <w:r w:rsidR="00A32CBD">
        <w:rPr>
          <w:b/>
        </w:rPr>
        <w:t>”.</w:t>
      </w:r>
    </w:p>
    <w:p w14:paraId="0CE0EFA9" w14:textId="77777777" w:rsidR="004450F1" w:rsidRPr="00372DEF" w:rsidRDefault="004450F1" w:rsidP="00A32CBD">
      <w:pPr>
        <w:widowControl w:val="0"/>
        <w:tabs>
          <w:tab w:val="left" w:pos="1193"/>
        </w:tabs>
        <w:spacing w:before="240" w:line="240" w:lineRule="auto"/>
        <w:ind w:right="-1"/>
        <w:jc w:val="both"/>
        <w:rPr>
          <w:rFonts w:ascii="Times New Roman" w:hAnsi="Times New Roman" w:cs="Times New Roman"/>
        </w:rPr>
      </w:pPr>
      <w:r w:rsidRPr="00A32CBD">
        <w:rPr>
          <w:rFonts w:ascii="Times New Roman" w:hAnsi="Times New Roman" w:cs="Times New Roman"/>
        </w:rPr>
        <w:t>Los servicios de consultoría ("los Servicios") comprenden el desarrollo de todas las actividades de carácter técnico y administrativo necesarias para asegurar que los contratistas que ejecutarán las obras cumplan en forma efectiva las estipulaciones contenidas en sus respectivos contratos, en los diseños y en las especificaciones técnicas, velando por la calidad de la obra y el cumplimiento de los plazos. La fiscalización no sólo se limita a exigir que las obras físicas</w:t>
      </w:r>
      <w:r w:rsidRPr="00A32CBD">
        <w:rPr>
          <w:rFonts w:ascii="Times New Roman" w:eastAsia="Times New Roman" w:hAnsi="Times New Roman" w:cs="Times New Roman"/>
          <w:color w:val="000000"/>
        </w:rPr>
        <w:t xml:space="preserve"> se ejecuten dentro de las normas de calidad requeridas y de acuerdo con las mejores prácticas de la ingeniería</w:t>
      </w:r>
      <w:r w:rsidRPr="00A32CBD">
        <w:rPr>
          <w:rFonts w:ascii="Times New Roman" w:hAnsi="Times New Roman" w:cs="Times New Roman"/>
        </w:rPr>
        <w:t>, sino que también incluye la supervisión de la gestión efectiva de los aspectos sociales y ambientales asociados a la construcción.</w:t>
      </w:r>
      <w:r w:rsidRPr="00372DEF">
        <w:rPr>
          <w:rFonts w:ascii="Times New Roman" w:hAnsi="Times New Roman" w:cs="Times New Roman"/>
        </w:rPr>
        <w:t xml:space="preserve"> </w:t>
      </w:r>
    </w:p>
    <w:p w14:paraId="2A9EF073" w14:textId="2C56EA95" w:rsidR="001F2170" w:rsidRPr="004D5D9A" w:rsidRDefault="001F2170" w:rsidP="00A32CBD">
      <w:pPr>
        <w:widowControl w:val="0"/>
        <w:tabs>
          <w:tab w:val="left" w:pos="1193"/>
        </w:tabs>
        <w:spacing w:before="240" w:line="240" w:lineRule="auto"/>
        <w:ind w:right="-1"/>
        <w:jc w:val="both"/>
        <w:rPr>
          <w:rFonts w:ascii="Times New Roman" w:hAnsi="Times New Roman" w:cs="Times New Roman"/>
        </w:rPr>
      </w:pPr>
      <w:r w:rsidRPr="004D5D9A">
        <w:rPr>
          <w:rFonts w:ascii="Times New Roman" w:hAnsi="Times New Roman" w:cs="Times New Roman"/>
        </w:rPr>
        <w:t>Estimativamente</w:t>
      </w:r>
      <w:r w:rsidR="00206372">
        <w:rPr>
          <w:rFonts w:ascii="Times New Roman" w:hAnsi="Times New Roman" w:cs="Times New Roman"/>
        </w:rPr>
        <w:t>,</w:t>
      </w:r>
      <w:r w:rsidRPr="004D5D9A">
        <w:rPr>
          <w:rFonts w:ascii="Times New Roman" w:hAnsi="Times New Roman" w:cs="Times New Roman"/>
        </w:rPr>
        <w:t xml:space="preserve"> los Servicios serán prestados por un período de 390 días a partir de la fecha de inicio de obra</w:t>
      </w:r>
      <w:r w:rsidR="00206372">
        <w:rPr>
          <w:rFonts w:ascii="Times New Roman" w:hAnsi="Times New Roman" w:cs="Times New Roman"/>
        </w:rPr>
        <w:t>:</w:t>
      </w:r>
      <w:r w:rsidRPr="004D5D9A">
        <w:rPr>
          <w:rFonts w:ascii="Times New Roman" w:hAnsi="Times New Roman" w:cs="Times New Roman"/>
        </w:rPr>
        <w:t xml:space="preserve"> </w:t>
      </w:r>
      <w:r w:rsidRPr="00206372">
        <w:rPr>
          <w:rFonts w:ascii="Times New Roman" w:hAnsi="Times New Roman" w:cs="Times New Roman"/>
          <w:b/>
        </w:rPr>
        <w:t>12 de agosto de 2021</w:t>
      </w:r>
      <w:r w:rsidR="00206372">
        <w:rPr>
          <w:rFonts w:ascii="Times New Roman" w:hAnsi="Times New Roman" w:cs="Times New Roman"/>
          <w:b/>
        </w:rPr>
        <w:t>,</w:t>
      </w:r>
      <w:r w:rsidRPr="004D5D9A">
        <w:rPr>
          <w:rFonts w:ascii="Times New Roman" w:hAnsi="Times New Roman" w:cs="Times New Roman"/>
        </w:rPr>
        <w:t xml:space="preserve"> con una dedicación estimada de 13 meses-persona para los expertos principales, y un pre</w:t>
      </w:r>
      <w:r w:rsidR="00206372">
        <w:rPr>
          <w:rFonts w:ascii="Times New Roman" w:hAnsi="Times New Roman" w:cs="Times New Roman"/>
        </w:rPr>
        <w:t xml:space="preserve">supuesto estimado máximo de </w:t>
      </w:r>
      <w:r w:rsidR="001516DB">
        <w:rPr>
          <w:rFonts w:ascii="Times New Roman" w:hAnsi="Times New Roman" w:cs="Times New Roman"/>
        </w:rPr>
        <w:t>DOS</w:t>
      </w:r>
      <w:r w:rsidR="001516DB" w:rsidRPr="004D5D9A">
        <w:rPr>
          <w:rFonts w:ascii="Times New Roman" w:hAnsi="Times New Roman" w:cs="Times New Roman"/>
        </w:rPr>
        <w:t>CIENTOS NOVENTA Y SEIS MIL QUINIENTOS NOVENTA Y NUEVE CON</w:t>
      </w:r>
      <w:r w:rsidRPr="004D5D9A">
        <w:rPr>
          <w:rFonts w:ascii="Times New Roman" w:hAnsi="Times New Roman" w:cs="Times New Roman"/>
        </w:rPr>
        <w:t xml:space="preserve"> 52/100 </w:t>
      </w:r>
      <w:r w:rsidR="00D225AB">
        <w:rPr>
          <w:rFonts w:ascii="Times New Roman" w:hAnsi="Times New Roman" w:cs="Times New Roman"/>
        </w:rPr>
        <w:t>USD</w:t>
      </w:r>
      <w:r w:rsidRPr="004D5D9A">
        <w:rPr>
          <w:rFonts w:ascii="Times New Roman" w:hAnsi="Times New Roman" w:cs="Times New Roman"/>
        </w:rPr>
        <w:t xml:space="preserve"> (US $ 296.599,52) </w:t>
      </w:r>
      <w:r w:rsidRPr="004D5D9A">
        <w:rPr>
          <w:rFonts w:ascii="Times New Roman" w:hAnsi="Times New Roman" w:cs="Times New Roman"/>
          <w:spacing w:val="-2"/>
        </w:rPr>
        <w:t>sin incluir el Impuesto al Valor Agregado (IVA)</w:t>
      </w:r>
      <w:r w:rsidRPr="004D5D9A">
        <w:rPr>
          <w:rFonts w:ascii="Times New Roman" w:hAnsi="Times New Roman" w:cs="Times New Roman"/>
        </w:rPr>
        <w:t>.</w:t>
      </w:r>
    </w:p>
    <w:p w14:paraId="07A7DE02" w14:textId="00444707" w:rsidR="004450F1" w:rsidRDefault="004450F1" w:rsidP="00A32CBD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372DEF">
        <w:rPr>
          <w:rFonts w:ascii="Times New Roman" w:hAnsi="Times New Roman" w:cs="Times New Roman"/>
        </w:rPr>
        <w:t>Los Términos de Referencia (</w:t>
      </w:r>
      <w:proofErr w:type="spellStart"/>
      <w:r w:rsidRPr="00372DEF">
        <w:rPr>
          <w:rFonts w:ascii="Times New Roman" w:hAnsi="Times New Roman" w:cs="Times New Roman"/>
        </w:rPr>
        <w:t>TdR</w:t>
      </w:r>
      <w:proofErr w:type="spellEnd"/>
      <w:r w:rsidRPr="00372DEF">
        <w:rPr>
          <w:rFonts w:ascii="Times New Roman" w:hAnsi="Times New Roman" w:cs="Times New Roman"/>
        </w:rPr>
        <w:t>) detallados para los Servicios podrán ser encontrados en la siguiente página web:</w:t>
      </w:r>
      <w:r>
        <w:rPr>
          <w:rFonts w:ascii="Times New Roman" w:hAnsi="Times New Roman" w:cs="Times New Roman"/>
        </w:rPr>
        <w:t xml:space="preserve"> </w:t>
      </w:r>
      <w:r w:rsidRPr="00372DEF">
        <w:rPr>
          <w:rFonts w:ascii="Times New Roman" w:hAnsi="Times New Roman" w:cs="Times New Roman"/>
        </w:rPr>
        <w:t>https://www.</w:t>
      </w:r>
      <w:r>
        <w:rPr>
          <w:rFonts w:ascii="Times New Roman" w:hAnsi="Times New Roman" w:cs="Times New Roman"/>
        </w:rPr>
        <w:t>manta</w:t>
      </w:r>
      <w:r w:rsidRPr="00372DEF">
        <w:rPr>
          <w:rFonts w:ascii="Times New Roman" w:hAnsi="Times New Roman" w:cs="Times New Roman"/>
        </w:rPr>
        <w:t>.gob.ec/</w:t>
      </w:r>
      <w:r>
        <w:rPr>
          <w:rFonts w:ascii="Times New Roman" w:hAnsi="Times New Roman" w:cs="Times New Roman"/>
        </w:rPr>
        <w:t>.</w:t>
      </w:r>
    </w:p>
    <w:p w14:paraId="324BD5D7" w14:textId="22577040" w:rsidR="004450F1" w:rsidRDefault="004450F1" w:rsidP="00A32CBD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4D5D9A">
        <w:rPr>
          <w:rFonts w:ascii="Times New Roman" w:hAnsi="Times New Roman" w:cs="Times New Roman"/>
        </w:rPr>
        <w:t>El G</w:t>
      </w:r>
      <w:r>
        <w:rPr>
          <w:rFonts w:ascii="Times New Roman" w:hAnsi="Times New Roman" w:cs="Times New Roman"/>
        </w:rPr>
        <w:t xml:space="preserve">obierno </w:t>
      </w:r>
      <w:r w:rsidRPr="004D5D9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utónomo </w:t>
      </w:r>
      <w:r w:rsidRPr="004D5D9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escentralizado </w:t>
      </w:r>
      <w:r w:rsidRPr="004D5D9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unicipal</w:t>
      </w:r>
      <w:r w:rsidRPr="004D5D9A">
        <w:rPr>
          <w:rFonts w:ascii="Times New Roman" w:hAnsi="Times New Roman" w:cs="Times New Roman"/>
        </w:rPr>
        <w:t xml:space="preserve"> del </w:t>
      </w:r>
      <w:r>
        <w:rPr>
          <w:rFonts w:ascii="Times New Roman" w:hAnsi="Times New Roman" w:cs="Times New Roman"/>
        </w:rPr>
        <w:t>C</w:t>
      </w:r>
      <w:r w:rsidRPr="004D5D9A">
        <w:rPr>
          <w:rFonts w:ascii="Times New Roman" w:hAnsi="Times New Roman" w:cs="Times New Roman"/>
        </w:rPr>
        <w:t xml:space="preserve">antón Manta invita a firmas consultoras, asociaciones en participación, compromisos de asociación o consorcio (APCA) de todas las nacionalidades, legalmente capaces para contratar y que tengan interés en participar en esta convocatoria a expresar su interés en brindar </w:t>
      </w:r>
      <w:r>
        <w:rPr>
          <w:rFonts w:ascii="Times New Roman" w:hAnsi="Times New Roman" w:cs="Times New Roman"/>
        </w:rPr>
        <w:t>el servicio de consultoría (fiscalización).</w:t>
      </w:r>
      <w:r w:rsidRPr="004D5D9A">
        <w:rPr>
          <w:rFonts w:ascii="Times New Roman" w:hAnsi="Times New Roman" w:cs="Times New Roman"/>
        </w:rPr>
        <w:t xml:space="preserve"> Las empresas nacionales o extranjeras deberán tener existencia legal de mínimo 3 años de constituida, sea en participación individual o como parte de una APCA.</w:t>
      </w:r>
    </w:p>
    <w:p w14:paraId="1BDFF1F1" w14:textId="75C6ACCE" w:rsidR="00372DEF" w:rsidRPr="00A32CBD" w:rsidRDefault="00206372" w:rsidP="00A32CBD">
      <w:pPr>
        <w:spacing w:before="240" w:line="240" w:lineRule="auto"/>
        <w:jc w:val="both"/>
      </w:pPr>
      <w:r>
        <w:rPr>
          <w:rFonts w:ascii="Times New Roman" w:hAnsi="Times New Roman" w:cs="Times New Roman"/>
        </w:rPr>
        <w:t>Se considerarán las E</w:t>
      </w:r>
      <w:r w:rsidR="00914604" w:rsidRPr="004D5D9A">
        <w:rPr>
          <w:rFonts w:ascii="Times New Roman" w:hAnsi="Times New Roman" w:cs="Times New Roman"/>
        </w:rPr>
        <w:t xml:space="preserve">xpresiones de </w:t>
      </w:r>
      <w:r>
        <w:rPr>
          <w:rFonts w:ascii="Times New Roman" w:hAnsi="Times New Roman" w:cs="Times New Roman"/>
        </w:rPr>
        <w:t>I</w:t>
      </w:r>
      <w:r w:rsidR="00914604" w:rsidRPr="004D5D9A">
        <w:rPr>
          <w:rFonts w:ascii="Times New Roman" w:hAnsi="Times New Roman" w:cs="Times New Roman"/>
        </w:rPr>
        <w:t>nterés de l</w:t>
      </w:r>
      <w:r w:rsidR="00372DEF" w:rsidRPr="004D5D9A">
        <w:rPr>
          <w:rFonts w:ascii="Times New Roman" w:hAnsi="Times New Roman" w:cs="Times New Roman"/>
        </w:rPr>
        <w:t>a</w:t>
      </w:r>
      <w:r w:rsidR="00652DF0" w:rsidRPr="004D5D9A">
        <w:rPr>
          <w:rFonts w:ascii="Times New Roman" w:hAnsi="Times New Roman" w:cs="Times New Roman"/>
        </w:rPr>
        <w:t>s</w:t>
      </w:r>
      <w:r w:rsidR="00372DEF" w:rsidRPr="004D5D9A">
        <w:rPr>
          <w:rFonts w:ascii="Times New Roman" w:hAnsi="Times New Roman" w:cs="Times New Roman"/>
        </w:rPr>
        <w:t xml:space="preserve"> firma</w:t>
      </w:r>
      <w:r w:rsidR="00652DF0" w:rsidRPr="004D5D9A">
        <w:rPr>
          <w:rFonts w:ascii="Times New Roman" w:hAnsi="Times New Roman" w:cs="Times New Roman"/>
        </w:rPr>
        <w:t>s</w:t>
      </w:r>
      <w:r w:rsidR="00372DEF" w:rsidRPr="004D5D9A">
        <w:rPr>
          <w:rFonts w:ascii="Times New Roman" w:hAnsi="Times New Roman" w:cs="Times New Roman"/>
        </w:rPr>
        <w:t xml:space="preserve"> consultora</w:t>
      </w:r>
      <w:r w:rsidR="00652DF0" w:rsidRPr="004D5D9A">
        <w:rPr>
          <w:rFonts w:ascii="Times New Roman" w:hAnsi="Times New Roman" w:cs="Times New Roman"/>
        </w:rPr>
        <w:t>s</w:t>
      </w:r>
      <w:r w:rsidR="00372DEF" w:rsidRPr="004D5D9A">
        <w:rPr>
          <w:rFonts w:ascii="Times New Roman" w:hAnsi="Times New Roman" w:cs="Times New Roman"/>
        </w:rPr>
        <w:t xml:space="preserve"> o APCA interesada</w:t>
      </w:r>
      <w:r w:rsidR="00256A02" w:rsidRPr="004D5D9A">
        <w:rPr>
          <w:rFonts w:ascii="Times New Roman" w:hAnsi="Times New Roman" w:cs="Times New Roman"/>
        </w:rPr>
        <w:t xml:space="preserve">s que </w:t>
      </w:r>
      <w:r w:rsidR="00FB690B" w:rsidRPr="004D5D9A">
        <w:rPr>
          <w:rFonts w:ascii="Times New Roman" w:hAnsi="Times New Roman" w:cs="Times New Roman"/>
        </w:rPr>
        <w:t>demuestre</w:t>
      </w:r>
      <w:r w:rsidR="00914604" w:rsidRPr="004D5D9A">
        <w:rPr>
          <w:rFonts w:ascii="Times New Roman" w:hAnsi="Times New Roman" w:cs="Times New Roman"/>
        </w:rPr>
        <w:t>n</w:t>
      </w:r>
      <w:r w:rsidR="00FB690B" w:rsidRPr="004D5D9A">
        <w:rPr>
          <w:rFonts w:ascii="Times New Roman" w:hAnsi="Times New Roman" w:cs="Times New Roman"/>
        </w:rPr>
        <w:t xml:space="preserve"> que cuentan con las calificaciones y la experiencia releva</w:t>
      </w:r>
      <w:r w:rsidR="00D668DA" w:rsidRPr="004D5D9A">
        <w:rPr>
          <w:rFonts w:ascii="Times New Roman" w:hAnsi="Times New Roman" w:cs="Times New Roman"/>
        </w:rPr>
        <w:t>nte requerida para prestar los S</w:t>
      </w:r>
      <w:r w:rsidR="00FB690B" w:rsidRPr="004D5D9A">
        <w:rPr>
          <w:rFonts w:ascii="Times New Roman" w:hAnsi="Times New Roman" w:cs="Times New Roman"/>
        </w:rPr>
        <w:t>ervicios</w:t>
      </w:r>
      <w:r w:rsidR="001516DB">
        <w:rPr>
          <w:rFonts w:ascii="Times New Roman" w:hAnsi="Times New Roman" w:cs="Times New Roman"/>
        </w:rPr>
        <w:t>;</w:t>
      </w:r>
      <w:r w:rsidR="00372DEF" w:rsidRPr="004D5D9A">
        <w:rPr>
          <w:rFonts w:ascii="Times New Roman" w:hAnsi="Times New Roman" w:cs="Times New Roman"/>
        </w:rPr>
        <w:t xml:space="preserve"> esto es</w:t>
      </w:r>
      <w:r w:rsidR="00652DF0" w:rsidRPr="004D5D9A">
        <w:rPr>
          <w:rFonts w:ascii="Times New Roman" w:hAnsi="Times New Roman" w:cs="Times New Roman"/>
        </w:rPr>
        <w:t>:</w:t>
      </w:r>
      <w:r w:rsidR="00372DEF" w:rsidRPr="004D5D9A">
        <w:rPr>
          <w:rFonts w:ascii="Times New Roman" w:hAnsi="Times New Roman" w:cs="Times New Roman"/>
        </w:rPr>
        <w:t xml:space="preserve"> </w:t>
      </w:r>
      <w:r w:rsidR="00A32CBD">
        <w:rPr>
          <w:rFonts w:ascii="Times New Roman" w:hAnsi="Times New Roman" w:cs="Times New Roman"/>
        </w:rPr>
        <w:t xml:space="preserve">i. </w:t>
      </w:r>
      <w:r w:rsidR="001516DB" w:rsidRPr="001516DB">
        <w:t>H</w:t>
      </w:r>
      <w:r w:rsidR="00652DF0" w:rsidRPr="001516DB">
        <w:t xml:space="preserve">aber ejecutado </w:t>
      </w:r>
      <w:r w:rsidR="00372DEF" w:rsidRPr="001516DB">
        <w:t xml:space="preserve">contratos de fiscalización </w:t>
      </w:r>
      <w:r w:rsidR="00652DF0" w:rsidRPr="001516DB">
        <w:t xml:space="preserve">de </w:t>
      </w:r>
      <w:r w:rsidR="00914604" w:rsidRPr="001516DB">
        <w:t>proyectos</w:t>
      </w:r>
      <w:r w:rsidR="00652DF0" w:rsidRPr="001516DB">
        <w:t xml:space="preserve"> similares por </w:t>
      </w:r>
      <w:r w:rsidR="00652DF0" w:rsidRPr="001516DB">
        <w:lastRenderedPageBreak/>
        <w:t xml:space="preserve">un valor mínimo total </w:t>
      </w:r>
      <w:r w:rsidR="001516DB">
        <w:t>DOS</w:t>
      </w:r>
      <w:r w:rsidR="001516DB" w:rsidRPr="001516DB">
        <w:t xml:space="preserve">CIENTOS NOVENTA Y SEIS MIL QUINIENTOS NOVENTA Y NUEVE CON </w:t>
      </w:r>
      <w:r w:rsidR="00C47251" w:rsidRPr="001516DB">
        <w:t xml:space="preserve">52/100 USD (US $ 296.599,52) </w:t>
      </w:r>
      <w:r w:rsidR="00372DEF" w:rsidRPr="001516DB">
        <w:t xml:space="preserve">dentro de los últimos diez años contados a partir de la fecha de la presentación de </w:t>
      </w:r>
      <w:r w:rsidR="00914604" w:rsidRPr="001516DB">
        <w:t xml:space="preserve">la </w:t>
      </w:r>
      <w:r w:rsidR="001516DB">
        <w:t>E</w:t>
      </w:r>
      <w:r w:rsidR="00372DEF" w:rsidRPr="001516DB">
        <w:t xml:space="preserve">xpresión de </w:t>
      </w:r>
      <w:r w:rsidR="001516DB">
        <w:t>I</w:t>
      </w:r>
      <w:r w:rsidR="00372DEF" w:rsidRPr="001516DB">
        <w:t>nterés</w:t>
      </w:r>
      <w:r w:rsidR="001516DB">
        <w:t>;</w:t>
      </w:r>
      <w:r w:rsidR="00A32CBD">
        <w:t xml:space="preserve">  </w:t>
      </w:r>
      <w:proofErr w:type="spellStart"/>
      <w:r w:rsidR="00A32CBD">
        <w:t>ii</w:t>
      </w:r>
      <w:proofErr w:type="spellEnd"/>
      <w:r w:rsidR="00A32CBD">
        <w:t xml:space="preserve">. </w:t>
      </w:r>
      <w:r w:rsidR="001516DB" w:rsidRPr="00A32CBD">
        <w:t>D</w:t>
      </w:r>
      <w:r w:rsidR="00C477E4" w:rsidRPr="00A32CBD">
        <w:t>eberán presentarse mínimo 3 contratos</w:t>
      </w:r>
      <w:r w:rsidR="001516DB" w:rsidRPr="00A32CBD">
        <w:t>,</w:t>
      </w:r>
      <w:r w:rsidR="00C477E4" w:rsidRPr="00A32CBD">
        <w:t xml:space="preserve"> </w:t>
      </w:r>
      <w:r w:rsidR="00652DF0" w:rsidRPr="00A32CBD">
        <w:t>cada uno de los cuales deberá</w:t>
      </w:r>
      <w:r w:rsidR="003E49A9" w:rsidRPr="00A32CBD">
        <w:t>n</w:t>
      </w:r>
      <w:r w:rsidR="00652DF0" w:rsidRPr="00A32CBD">
        <w:t xml:space="preserve"> </w:t>
      </w:r>
      <w:r w:rsidR="00914604" w:rsidRPr="00A32CBD">
        <w:t>tener</w:t>
      </w:r>
      <w:r w:rsidR="00652DF0" w:rsidRPr="00A32CBD">
        <w:t xml:space="preserve"> un valor no inferior </w:t>
      </w:r>
      <w:r w:rsidR="00C47251" w:rsidRPr="00A32CBD">
        <w:t>al 80% del monto del presupuesto referencial determinado para este proceso, esto es:</w:t>
      </w:r>
      <w:r w:rsidR="00372DEF" w:rsidRPr="00A32CBD">
        <w:t xml:space="preserve"> </w:t>
      </w:r>
      <w:r w:rsidR="001516DB" w:rsidRPr="00A32CBD">
        <w:t xml:space="preserve">CUATRO MILLONES CIENTO VEINTE Y SEIS MIL SEISCIENTOS DOS CON </w:t>
      </w:r>
      <w:r w:rsidR="00C47251" w:rsidRPr="00A32CBD">
        <w:t>02</w:t>
      </w:r>
      <w:r w:rsidR="00372DEF" w:rsidRPr="00A32CBD">
        <w:t xml:space="preserve">/100 </w:t>
      </w:r>
      <w:r w:rsidR="00D225AB" w:rsidRPr="00A32CBD">
        <w:t xml:space="preserve">USD </w:t>
      </w:r>
      <w:r w:rsidR="00372DEF" w:rsidRPr="00A32CBD">
        <w:t>(US $</w:t>
      </w:r>
      <w:r w:rsidR="00C47251" w:rsidRPr="00A32CBD">
        <w:t>4.126.602</w:t>
      </w:r>
      <w:r w:rsidR="00372DEF" w:rsidRPr="00A32CBD">
        <w:t>,0</w:t>
      </w:r>
      <w:r w:rsidR="00C47251" w:rsidRPr="00A32CBD">
        <w:t>2</w:t>
      </w:r>
      <w:r w:rsidR="00372DEF" w:rsidRPr="00A32CBD">
        <w:t>).</w:t>
      </w:r>
    </w:p>
    <w:p w14:paraId="5FB13195" w14:textId="3707512F" w:rsidR="00A92EF6" w:rsidRPr="004D5D9A" w:rsidRDefault="008766E4" w:rsidP="00A32CBD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4D5D9A">
        <w:rPr>
          <w:rFonts w:ascii="Times New Roman" w:hAnsi="Times New Roman" w:cs="Times New Roman"/>
        </w:rPr>
        <w:t>Los criterios para la selección de la lista corta</w:t>
      </w:r>
      <w:r w:rsidR="004D2486" w:rsidRPr="004D5D9A">
        <w:rPr>
          <w:rFonts w:ascii="Times New Roman" w:hAnsi="Times New Roman" w:cs="Times New Roman"/>
        </w:rPr>
        <w:t xml:space="preserve">, que incluirá a no más de </w:t>
      </w:r>
      <w:r w:rsidR="00B23BBB" w:rsidRPr="004D5D9A">
        <w:rPr>
          <w:rFonts w:ascii="Times New Roman" w:hAnsi="Times New Roman" w:cs="Times New Roman"/>
        </w:rPr>
        <w:t>siete (7</w:t>
      </w:r>
      <w:r w:rsidR="004D2486" w:rsidRPr="004D5D9A">
        <w:rPr>
          <w:rFonts w:ascii="Times New Roman" w:hAnsi="Times New Roman" w:cs="Times New Roman"/>
        </w:rPr>
        <w:t>) firmas</w:t>
      </w:r>
      <w:r w:rsidR="00C477E4" w:rsidRPr="004D5D9A">
        <w:rPr>
          <w:rFonts w:ascii="Times New Roman" w:hAnsi="Times New Roman" w:cs="Times New Roman"/>
        </w:rPr>
        <w:t xml:space="preserve"> y no menos de tres (3)</w:t>
      </w:r>
      <w:r w:rsidR="009C175E" w:rsidRPr="004D5D9A">
        <w:rPr>
          <w:rFonts w:ascii="Times New Roman" w:hAnsi="Times New Roman" w:cs="Times New Roman"/>
        </w:rPr>
        <w:t>,</w:t>
      </w:r>
      <w:r w:rsidRPr="004D5D9A">
        <w:rPr>
          <w:rFonts w:ascii="Times New Roman" w:hAnsi="Times New Roman" w:cs="Times New Roman"/>
        </w:rPr>
        <w:t xml:space="preserve"> son: </w:t>
      </w:r>
      <w:r w:rsidR="00C82961" w:rsidRPr="004D5D9A">
        <w:rPr>
          <w:rFonts w:ascii="Times New Roman" w:hAnsi="Times New Roman" w:cs="Times New Roman"/>
        </w:rPr>
        <w:t xml:space="preserve">Experiencia específica en servicios </w:t>
      </w:r>
      <w:r w:rsidR="00B23BBB" w:rsidRPr="004D5D9A">
        <w:rPr>
          <w:rFonts w:ascii="Times New Roman" w:hAnsi="Times New Roman" w:cs="Times New Roman"/>
        </w:rPr>
        <w:t>de fiscalización o supervisión</w:t>
      </w:r>
      <w:r w:rsidR="00A92EF6" w:rsidRPr="004D5D9A">
        <w:rPr>
          <w:rFonts w:ascii="Times New Roman" w:hAnsi="Times New Roman" w:cs="Times New Roman"/>
        </w:rPr>
        <w:t xml:space="preserve"> (interventoría)</w:t>
      </w:r>
      <w:r w:rsidR="00B23BBB" w:rsidRPr="004D5D9A">
        <w:rPr>
          <w:rFonts w:ascii="Times New Roman" w:hAnsi="Times New Roman" w:cs="Times New Roman"/>
        </w:rPr>
        <w:t xml:space="preserve"> de</w:t>
      </w:r>
      <w:r w:rsidR="00C82961" w:rsidRPr="004D5D9A">
        <w:rPr>
          <w:rFonts w:ascii="Times New Roman" w:hAnsi="Times New Roman" w:cs="Times New Roman"/>
        </w:rPr>
        <w:t xml:space="preserve"> proyectos </w:t>
      </w:r>
      <w:r w:rsidR="00B23BBB" w:rsidRPr="004D5D9A">
        <w:rPr>
          <w:rFonts w:ascii="Times New Roman" w:hAnsi="Times New Roman" w:cs="Times New Roman"/>
        </w:rPr>
        <w:t>similares</w:t>
      </w:r>
      <w:r w:rsidR="00017541" w:rsidRPr="004D5D9A">
        <w:rPr>
          <w:rFonts w:ascii="Times New Roman" w:hAnsi="Times New Roman" w:cs="Times New Roman"/>
        </w:rPr>
        <w:t xml:space="preserve"> y situación financiera</w:t>
      </w:r>
      <w:r w:rsidR="00B23BBB" w:rsidRPr="004D5D9A">
        <w:rPr>
          <w:rFonts w:ascii="Times New Roman" w:hAnsi="Times New Roman" w:cs="Times New Roman"/>
        </w:rPr>
        <w:t xml:space="preserve">. </w:t>
      </w:r>
    </w:p>
    <w:p w14:paraId="191CE297" w14:textId="1ECE2B4E" w:rsidR="00D571D2" w:rsidRPr="00A32CBD" w:rsidRDefault="00B23BBB" w:rsidP="00A32CBD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4D5D9A">
        <w:rPr>
          <w:rFonts w:ascii="Times New Roman" w:hAnsi="Times New Roman" w:cs="Times New Roman"/>
        </w:rPr>
        <w:t xml:space="preserve">Se considerarán proyectos similares a: </w:t>
      </w:r>
      <w:r w:rsidR="00A32CBD">
        <w:rPr>
          <w:rFonts w:ascii="Times New Roman" w:hAnsi="Times New Roman" w:cs="Times New Roman"/>
        </w:rPr>
        <w:t xml:space="preserve">i. </w:t>
      </w:r>
      <w:r w:rsidR="00D571D2" w:rsidRPr="00A32CBD">
        <w:t xml:space="preserve">Rehabilitación o </w:t>
      </w:r>
      <w:r w:rsidR="00EA258D" w:rsidRPr="00A32CBD">
        <w:t>repotenciación</w:t>
      </w:r>
      <w:r w:rsidR="00D571D2" w:rsidRPr="00A32CBD">
        <w:t xml:space="preserve"> </w:t>
      </w:r>
      <w:r w:rsidR="00EA258D" w:rsidRPr="00A32CBD">
        <w:t>de sistemas hidrosanita</w:t>
      </w:r>
      <w:r w:rsidR="00B05514" w:rsidRPr="00A32CBD">
        <w:t>rios;</w:t>
      </w:r>
      <w:r w:rsidR="00A32CBD">
        <w:rPr>
          <w:rFonts w:ascii="Times New Roman" w:hAnsi="Times New Roman" w:cs="Times New Roman"/>
        </w:rPr>
        <w:t xml:space="preserve"> </w:t>
      </w:r>
      <w:proofErr w:type="spellStart"/>
      <w:r w:rsidR="00A32CBD">
        <w:rPr>
          <w:rFonts w:ascii="Times New Roman" w:hAnsi="Times New Roman" w:cs="Times New Roman"/>
        </w:rPr>
        <w:t>ii</w:t>
      </w:r>
      <w:proofErr w:type="spellEnd"/>
      <w:r w:rsidR="00A32CBD">
        <w:rPr>
          <w:rFonts w:ascii="Times New Roman" w:hAnsi="Times New Roman" w:cs="Times New Roman"/>
        </w:rPr>
        <w:t xml:space="preserve">. </w:t>
      </w:r>
      <w:r w:rsidR="00EA258D" w:rsidRPr="00A32CBD">
        <w:t xml:space="preserve">Construcción de redes de alcantarillado y redes </w:t>
      </w:r>
      <w:r w:rsidR="00B05514" w:rsidRPr="00A32CBD">
        <w:t>de distribución de sistemas de agua potable;</w:t>
      </w:r>
      <w:r w:rsidR="00A32CBD">
        <w:rPr>
          <w:rFonts w:ascii="Times New Roman" w:hAnsi="Times New Roman" w:cs="Times New Roman"/>
        </w:rPr>
        <w:t xml:space="preserve"> </w:t>
      </w:r>
      <w:proofErr w:type="spellStart"/>
      <w:r w:rsidR="00A32CBD">
        <w:rPr>
          <w:rFonts w:ascii="Times New Roman" w:hAnsi="Times New Roman" w:cs="Times New Roman"/>
        </w:rPr>
        <w:t>iii</w:t>
      </w:r>
      <w:proofErr w:type="spellEnd"/>
      <w:r w:rsidR="00A32CBD">
        <w:rPr>
          <w:rFonts w:ascii="Times New Roman" w:hAnsi="Times New Roman" w:cs="Times New Roman"/>
        </w:rPr>
        <w:t xml:space="preserve">. </w:t>
      </w:r>
      <w:r w:rsidR="00D571D2" w:rsidRPr="00A32CBD">
        <w:t>Recuperación y restablecimiento del suministro de agua e instalaciones sanitarias, incluidas reparaciones de la red de abastecimiento, estaciones de bombeo de agua y plantas depuradoras</w:t>
      </w:r>
      <w:r w:rsidR="00B05514" w:rsidRPr="00A32CBD">
        <w:t>.</w:t>
      </w:r>
    </w:p>
    <w:p w14:paraId="5F23E543" w14:textId="59BAF7AB" w:rsidR="00C82961" w:rsidRPr="004D5D9A" w:rsidRDefault="00AA51B9" w:rsidP="00A32CBD">
      <w:pPr>
        <w:spacing w:before="240" w:line="240" w:lineRule="auto"/>
        <w:jc w:val="both"/>
        <w:rPr>
          <w:rFonts w:ascii="Times New Roman" w:hAnsi="Times New Roman" w:cs="Times New Roman"/>
          <w:lang w:val="es-ES_tradnl"/>
        </w:rPr>
      </w:pPr>
      <w:r w:rsidRPr="004D5D9A">
        <w:rPr>
          <w:rFonts w:ascii="Times New Roman" w:hAnsi="Times New Roman" w:cs="Times New Roman"/>
          <w:lang w:val="es-ES_tradnl"/>
        </w:rPr>
        <w:t>Las firmas interesadas deberán adjuntar el listado</w:t>
      </w:r>
      <w:r w:rsidR="00C13356" w:rsidRPr="004D5D9A">
        <w:rPr>
          <w:rFonts w:ascii="Times New Roman" w:hAnsi="Times New Roman" w:cs="Times New Roman"/>
          <w:lang w:val="es-ES_tradnl"/>
        </w:rPr>
        <w:t xml:space="preserve"> de </w:t>
      </w:r>
      <w:r w:rsidR="00BF7627" w:rsidRPr="004D5D9A">
        <w:rPr>
          <w:rFonts w:ascii="Times New Roman" w:hAnsi="Times New Roman" w:cs="Times New Roman"/>
          <w:lang w:val="es-ES_tradnl"/>
        </w:rPr>
        <w:t xml:space="preserve">los </w:t>
      </w:r>
      <w:r w:rsidR="00C13356" w:rsidRPr="004D5D9A">
        <w:rPr>
          <w:rFonts w:ascii="Times New Roman" w:hAnsi="Times New Roman" w:cs="Times New Roman"/>
          <w:lang w:val="es-ES_tradnl"/>
        </w:rPr>
        <w:t xml:space="preserve">trabajos </w:t>
      </w:r>
      <w:r w:rsidR="00BF7627" w:rsidRPr="004D5D9A">
        <w:rPr>
          <w:rFonts w:ascii="Times New Roman" w:hAnsi="Times New Roman" w:cs="Times New Roman"/>
          <w:lang w:val="es-ES_tradnl"/>
        </w:rPr>
        <w:t>realizados</w:t>
      </w:r>
      <w:r w:rsidRPr="004D5D9A">
        <w:rPr>
          <w:rFonts w:ascii="Times New Roman" w:hAnsi="Times New Roman" w:cs="Times New Roman"/>
          <w:lang w:val="es-ES_tradnl"/>
        </w:rPr>
        <w:t xml:space="preserve">, </w:t>
      </w:r>
      <w:r w:rsidR="00C13356" w:rsidRPr="004D5D9A">
        <w:rPr>
          <w:rFonts w:ascii="Times New Roman" w:hAnsi="Times New Roman" w:cs="Times New Roman"/>
          <w:lang w:val="es-ES_tradnl"/>
        </w:rPr>
        <w:t xml:space="preserve">incluyendo una </w:t>
      </w:r>
      <w:r w:rsidRPr="004D5D9A">
        <w:rPr>
          <w:rFonts w:ascii="Times New Roman" w:hAnsi="Times New Roman" w:cs="Times New Roman"/>
          <w:lang w:val="es-ES_tradnl"/>
        </w:rPr>
        <w:t xml:space="preserve">breve descripción y </w:t>
      </w:r>
      <w:r w:rsidR="00C13356" w:rsidRPr="004D5D9A">
        <w:rPr>
          <w:rFonts w:ascii="Times New Roman" w:hAnsi="Times New Roman" w:cs="Times New Roman"/>
          <w:lang w:val="es-ES_tradnl"/>
        </w:rPr>
        <w:t xml:space="preserve">el </w:t>
      </w:r>
      <w:r w:rsidRPr="004D5D9A">
        <w:rPr>
          <w:rFonts w:ascii="Times New Roman" w:hAnsi="Times New Roman" w:cs="Times New Roman"/>
          <w:lang w:val="es-ES_tradnl"/>
        </w:rPr>
        <w:t xml:space="preserve">monto </w:t>
      </w:r>
      <w:r w:rsidR="00BF7627" w:rsidRPr="004D5D9A">
        <w:rPr>
          <w:rFonts w:ascii="Times New Roman" w:hAnsi="Times New Roman" w:cs="Times New Roman"/>
          <w:lang w:val="es-ES_tradnl"/>
        </w:rPr>
        <w:t>de cada uno de ellos</w:t>
      </w:r>
      <w:r w:rsidRPr="004D5D9A">
        <w:rPr>
          <w:rFonts w:ascii="Times New Roman" w:hAnsi="Times New Roman" w:cs="Times New Roman"/>
          <w:lang w:val="es-ES_tradnl"/>
        </w:rPr>
        <w:t xml:space="preserve">, </w:t>
      </w:r>
      <w:r w:rsidR="00BF7627" w:rsidRPr="004D5D9A">
        <w:rPr>
          <w:rFonts w:ascii="Times New Roman" w:hAnsi="Times New Roman" w:cs="Times New Roman"/>
          <w:lang w:val="es-ES_tradnl"/>
        </w:rPr>
        <w:t>junto con una</w:t>
      </w:r>
      <w:r w:rsidRPr="004D5D9A">
        <w:rPr>
          <w:rFonts w:ascii="Times New Roman" w:hAnsi="Times New Roman" w:cs="Times New Roman"/>
          <w:lang w:val="es-ES_tradnl"/>
        </w:rPr>
        <w:t xml:space="preserve"> fotocopia simple de los </w:t>
      </w:r>
      <w:r w:rsidR="00BF7627" w:rsidRPr="004D5D9A">
        <w:rPr>
          <w:rFonts w:ascii="Times New Roman" w:hAnsi="Times New Roman" w:cs="Times New Roman"/>
          <w:lang w:val="es-ES_tradnl"/>
        </w:rPr>
        <w:t xml:space="preserve">respectivos </w:t>
      </w:r>
      <w:r w:rsidRPr="004D5D9A">
        <w:rPr>
          <w:rFonts w:ascii="Times New Roman" w:hAnsi="Times New Roman" w:cs="Times New Roman"/>
          <w:lang w:val="es-ES_tradnl"/>
        </w:rPr>
        <w:t>contratos, actas de recepción, certificaciones u otros documentos similares</w:t>
      </w:r>
      <w:r w:rsidR="009F479B" w:rsidRPr="004D5D9A">
        <w:rPr>
          <w:rFonts w:ascii="Times New Roman" w:hAnsi="Times New Roman" w:cs="Times New Roman"/>
          <w:lang w:val="es-ES_tradnl"/>
        </w:rPr>
        <w:t>, que permitan acreditar la experiencia arriba mencionada</w:t>
      </w:r>
      <w:r w:rsidRPr="004D5D9A">
        <w:rPr>
          <w:rFonts w:ascii="Times New Roman" w:hAnsi="Times New Roman" w:cs="Times New Roman"/>
          <w:lang w:val="es-ES_tradnl"/>
        </w:rPr>
        <w:t>.</w:t>
      </w:r>
    </w:p>
    <w:p w14:paraId="71BE2AE4" w14:textId="5D138C65" w:rsidR="004D5D9A" w:rsidRPr="004D5D9A" w:rsidRDefault="00AA51B9" w:rsidP="00A32CBD">
      <w:pPr>
        <w:spacing w:before="240"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4D5D9A">
        <w:rPr>
          <w:rFonts w:ascii="Times New Roman" w:hAnsi="Times New Roman" w:cs="Times New Roman"/>
          <w:lang w:val="es-ES_tradnl"/>
        </w:rPr>
        <w:t>Adicionalmente</w:t>
      </w:r>
      <w:r w:rsidR="00B05514">
        <w:rPr>
          <w:rFonts w:ascii="Times New Roman" w:hAnsi="Times New Roman" w:cs="Times New Roman"/>
          <w:lang w:val="es-ES_tradnl"/>
        </w:rPr>
        <w:t>,</w:t>
      </w:r>
      <w:r w:rsidRPr="004D5D9A">
        <w:rPr>
          <w:rFonts w:ascii="Times New Roman" w:hAnsi="Times New Roman" w:cs="Times New Roman"/>
          <w:lang w:val="es-ES_tradnl"/>
        </w:rPr>
        <w:t xml:space="preserve"> deberán adjuntar: (i) copia simple de</w:t>
      </w:r>
      <w:r w:rsidR="00BF7627" w:rsidRPr="004D5D9A">
        <w:rPr>
          <w:rFonts w:ascii="Times New Roman" w:hAnsi="Times New Roman" w:cs="Times New Roman"/>
          <w:lang w:val="es-ES_tradnl"/>
        </w:rPr>
        <w:t xml:space="preserve">l acta de </w:t>
      </w:r>
      <w:r w:rsidRPr="004D5D9A">
        <w:rPr>
          <w:rFonts w:ascii="Times New Roman" w:hAnsi="Times New Roman" w:cs="Times New Roman"/>
          <w:lang w:val="es-ES_tradnl"/>
        </w:rPr>
        <w:t>constitución de la firma y del poder otorgado al representante legal (si lo hubiere), (</w:t>
      </w:r>
      <w:proofErr w:type="spellStart"/>
      <w:r w:rsidRPr="004D5D9A">
        <w:rPr>
          <w:rFonts w:ascii="Times New Roman" w:hAnsi="Times New Roman" w:cs="Times New Roman"/>
          <w:lang w:val="es-ES_tradnl"/>
        </w:rPr>
        <w:t>ii</w:t>
      </w:r>
      <w:proofErr w:type="spellEnd"/>
      <w:r w:rsidRPr="004D5D9A">
        <w:rPr>
          <w:rFonts w:ascii="Times New Roman" w:hAnsi="Times New Roman" w:cs="Times New Roman"/>
          <w:lang w:val="es-ES_tradnl"/>
        </w:rPr>
        <w:t xml:space="preserve">) copia simple de los </w:t>
      </w:r>
      <w:r w:rsidR="009F479B" w:rsidRPr="004D5D9A">
        <w:rPr>
          <w:rFonts w:ascii="Times New Roman" w:hAnsi="Times New Roman" w:cs="Times New Roman"/>
          <w:lang w:val="es-ES_tradnl"/>
        </w:rPr>
        <w:t>estados financieros</w:t>
      </w:r>
      <w:r w:rsidR="00DE522D" w:rsidRPr="004D5D9A">
        <w:rPr>
          <w:rFonts w:ascii="Times New Roman" w:hAnsi="Times New Roman" w:cs="Times New Roman"/>
          <w:lang w:val="es-ES_tradnl"/>
        </w:rPr>
        <w:t xml:space="preserve"> </w:t>
      </w:r>
      <w:r w:rsidR="00C477E4" w:rsidRPr="004D5D9A">
        <w:rPr>
          <w:rFonts w:ascii="Times New Roman" w:hAnsi="Times New Roman" w:cs="Times New Roman"/>
          <w:lang w:val="es-ES_tradnl"/>
        </w:rPr>
        <w:t xml:space="preserve">presentados a los respectivos organismos de control </w:t>
      </w:r>
      <w:r w:rsidR="00DE522D" w:rsidRPr="004D5D9A">
        <w:rPr>
          <w:rFonts w:ascii="Times New Roman" w:hAnsi="Times New Roman" w:cs="Times New Roman"/>
          <w:lang w:val="es-ES_tradnl"/>
        </w:rPr>
        <w:t xml:space="preserve">de los últimos </w:t>
      </w:r>
      <w:r w:rsidR="00C477E4" w:rsidRPr="004D5D9A">
        <w:rPr>
          <w:rFonts w:ascii="Times New Roman" w:hAnsi="Times New Roman" w:cs="Times New Roman"/>
          <w:lang w:val="es-ES_tradnl"/>
        </w:rPr>
        <w:t>cinco</w:t>
      </w:r>
      <w:r w:rsidR="00DE522D" w:rsidRPr="004D5D9A">
        <w:rPr>
          <w:rFonts w:ascii="Times New Roman" w:hAnsi="Times New Roman" w:cs="Times New Roman"/>
          <w:lang w:val="es-ES_tradnl"/>
        </w:rPr>
        <w:t xml:space="preserve"> (5) años</w:t>
      </w:r>
      <w:r w:rsidR="000E500E" w:rsidRPr="004D5D9A">
        <w:rPr>
          <w:rFonts w:ascii="Times New Roman" w:hAnsi="Times New Roman" w:cs="Times New Roman"/>
          <w:lang w:val="es-ES_tradnl"/>
        </w:rPr>
        <w:t xml:space="preserve"> que muestren la solidez de su situación financiera</w:t>
      </w:r>
      <w:r w:rsidR="00DE522D" w:rsidRPr="004D5D9A">
        <w:rPr>
          <w:rFonts w:ascii="Times New Roman" w:hAnsi="Times New Roman" w:cs="Times New Roman"/>
          <w:lang w:val="es-ES_tradnl"/>
        </w:rPr>
        <w:t>, (</w:t>
      </w:r>
      <w:proofErr w:type="spellStart"/>
      <w:r w:rsidR="00DE522D" w:rsidRPr="004D5D9A">
        <w:rPr>
          <w:rFonts w:ascii="Times New Roman" w:hAnsi="Times New Roman" w:cs="Times New Roman"/>
          <w:lang w:val="es-ES_tradnl"/>
        </w:rPr>
        <w:t>iii</w:t>
      </w:r>
      <w:proofErr w:type="spellEnd"/>
      <w:r w:rsidR="00DE522D" w:rsidRPr="004D5D9A">
        <w:rPr>
          <w:rFonts w:ascii="Times New Roman" w:hAnsi="Times New Roman" w:cs="Times New Roman"/>
          <w:lang w:val="es-ES_tradnl"/>
        </w:rPr>
        <w:t xml:space="preserve">) </w:t>
      </w:r>
      <w:r w:rsidR="000E500E" w:rsidRPr="004D5D9A">
        <w:rPr>
          <w:rFonts w:ascii="Times New Roman" w:eastAsia="Times New Roman" w:hAnsi="Times New Roman" w:cs="Times New Roman"/>
          <w:spacing w:val="-2"/>
          <w:lang w:val="es-EC" w:eastAsia="es-MX"/>
        </w:rPr>
        <w:t>documentación</w:t>
      </w:r>
      <w:r w:rsidR="00DE522D" w:rsidRPr="004D5D9A">
        <w:rPr>
          <w:rFonts w:ascii="Times New Roman" w:eastAsia="Times New Roman" w:hAnsi="Times New Roman" w:cs="Times New Roman"/>
          <w:spacing w:val="-2"/>
          <w:lang w:val="es-EC" w:eastAsia="es-MX"/>
        </w:rPr>
        <w:t xml:space="preserve"> que muestre su organización, administrativa, técnica, logística y de personal, y (</w:t>
      </w:r>
      <w:proofErr w:type="spellStart"/>
      <w:r w:rsidR="00DE522D" w:rsidRPr="004D5D9A">
        <w:rPr>
          <w:rFonts w:ascii="Times New Roman" w:eastAsia="Times New Roman" w:hAnsi="Times New Roman" w:cs="Times New Roman"/>
          <w:spacing w:val="-2"/>
          <w:lang w:val="es-EC" w:eastAsia="es-MX"/>
        </w:rPr>
        <w:t>iv</w:t>
      </w:r>
      <w:proofErr w:type="spellEnd"/>
      <w:r w:rsidR="00DE522D" w:rsidRPr="004D5D9A">
        <w:rPr>
          <w:rFonts w:ascii="Times New Roman" w:eastAsia="Times New Roman" w:hAnsi="Times New Roman" w:cs="Times New Roman"/>
          <w:spacing w:val="-2"/>
          <w:lang w:val="es-EC" w:eastAsia="es-MX"/>
        </w:rPr>
        <w:t>)</w:t>
      </w:r>
      <w:r w:rsidR="00DE522D" w:rsidRPr="004D5D9A">
        <w:rPr>
          <w:rFonts w:ascii="Times New Roman" w:hAnsi="Times New Roman" w:cs="Times New Roman"/>
          <w:lang w:val="es-ES_tradnl"/>
        </w:rPr>
        <w:t xml:space="preserve"> </w:t>
      </w:r>
      <w:r w:rsidR="00BF7627" w:rsidRPr="004D5D9A">
        <w:rPr>
          <w:rFonts w:ascii="Times New Roman" w:hAnsi="Times New Roman" w:cs="Times New Roman"/>
          <w:lang w:val="es-ES_tradnl"/>
        </w:rPr>
        <w:t>f</w:t>
      </w:r>
      <w:r w:rsidR="00C82961" w:rsidRPr="004D5D9A">
        <w:rPr>
          <w:rFonts w:ascii="Times New Roman" w:hAnsi="Times New Roman" w:cs="Times New Roman"/>
          <w:lang w:val="es-ES_tradnl"/>
        </w:rPr>
        <w:t>olletos u otros documentos de presentación de la firma consultora</w:t>
      </w:r>
      <w:r w:rsidR="00BF7627" w:rsidRPr="004D5D9A">
        <w:rPr>
          <w:rFonts w:ascii="Times New Roman" w:hAnsi="Times New Roman" w:cs="Times New Roman"/>
          <w:lang w:val="es-ES_tradnl"/>
        </w:rPr>
        <w:t>.</w:t>
      </w:r>
    </w:p>
    <w:p w14:paraId="283D7C21" w14:textId="3FA543CC" w:rsidR="00256A02" w:rsidRPr="004D5D9A" w:rsidRDefault="00256A02" w:rsidP="00A32CBD">
      <w:pPr>
        <w:pStyle w:val="default"/>
        <w:spacing w:before="240" w:beforeAutospacing="0" w:after="0" w:afterAutospacing="0"/>
        <w:jc w:val="both"/>
        <w:rPr>
          <w:sz w:val="22"/>
          <w:szCs w:val="22"/>
        </w:rPr>
      </w:pPr>
      <w:r w:rsidRPr="004D5D9A">
        <w:rPr>
          <w:sz w:val="22"/>
          <w:szCs w:val="22"/>
        </w:rPr>
        <w:t xml:space="preserve">Los consultores interesados deben prestar atención a la política de conflicto de interés, párrafo </w:t>
      </w:r>
      <w:r w:rsidRPr="004D5D9A">
        <w:rPr>
          <w:sz w:val="22"/>
          <w:szCs w:val="22"/>
          <w:lang w:val="es-ES_tradnl"/>
        </w:rPr>
        <w:t>1.</w:t>
      </w:r>
      <w:r w:rsidR="001E6417" w:rsidRPr="004D5D9A">
        <w:rPr>
          <w:sz w:val="22"/>
          <w:szCs w:val="22"/>
          <w:lang w:val="es-ES_tradnl"/>
        </w:rPr>
        <w:t>5</w:t>
      </w:r>
      <w:r w:rsidRPr="004D5D9A">
        <w:rPr>
          <w:sz w:val="22"/>
          <w:szCs w:val="22"/>
          <w:lang w:val="es-ES_tradnl"/>
        </w:rPr>
        <w:t xml:space="preserve"> </w:t>
      </w:r>
      <w:r w:rsidR="001E6417" w:rsidRPr="004D5D9A">
        <w:rPr>
          <w:sz w:val="22"/>
          <w:szCs w:val="22"/>
        </w:rPr>
        <w:t xml:space="preserve">de la </w:t>
      </w:r>
      <w:r w:rsidR="00DC5A9A" w:rsidRPr="004D5D9A">
        <w:rPr>
          <w:sz w:val="22"/>
          <w:szCs w:val="22"/>
        </w:rPr>
        <w:t>“</w:t>
      </w:r>
      <w:r w:rsidR="001E6417" w:rsidRPr="004D5D9A">
        <w:rPr>
          <w:sz w:val="22"/>
          <w:szCs w:val="22"/>
        </w:rPr>
        <w:t>Guía de Contratación Pública para proyectos financiados por el Banco Europeo de Inversiones</w:t>
      </w:r>
      <w:r w:rsidR="00DC5A9A" w:rsidRPr="004D5D9A">
        <w:rPr>
          <w:sz w:val="22"/>
          <w:szCs w:val="22"/>
        </w:rPr>
        <w:t xml:space="preserve">, </w:t>
      </w:r>
      <w:r w:rsidR="00342EAC" w:rsidRPr="004D5D9A">
        <w:rPr>
          <w:sz w:val="22"/>
          <w:szCs w:val="22"/>
        </w:rPr>
        <w:t>septiembre</w:t>
      </w:r>
      <w:r w:rsidR="00DC5A9A" w:rsidRPr="004D5D9A">
        <w:rPr>
          <w:sz w:val="22"/>
          <w:szCs w:val="22"/>
        </w:rPr>
        <w:t xml:space="preserve"> 2018</w:t>
      </w:r>
      <w:r w:rsidR="00C82FB1" w:rsidRPr="004D5D9A">
        <w:rPr>
          <w:rStyle w:val="Refdenotaalpie"/>
          <w:sz w:val="22"/>
          <w:szCs w:val="22"/>
        </w:rPr>
        <w:footnoteReference w:id="1"/>
      </w:r>
      <w:r w:rsidR="00DC5A9A" w:rsidRPr="004D5D9A">
        <w:rPr>
          <w:sz w:val="22"/>
          <w:szCs w:val="22"/>
        </w:rPr>
        <w:t>”</w:t>
      </w:r>
      <w:r w:rsidRPr="004D5D9A">
        <w:rPr>
          <w:sz w:val="22"/>
          <w:szCs w:val="22"/>
        </w:rPr>
        <w:t>.</w:t>
      </w:r>
      <w:r w:rsidR="00DC5A9A" w:rsidRPr="004D5D9A">
        <w:rPr>
          <w:sz w:val="22"/>
          <w:szCs w:val="22"/>
        </w:rPr>
        <w:t xml:space="preserve"> </w:t>
      </w:r>
    </w:p>
    <w:p w14:paraId="118160C4" w14:textId="77777777" w:rsidR="00256A02" w:rsidRPr="004D5D9A" w:rsidRDefault="00256A02" w:rsidP="00A32CBD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4D5D9A">
        <w:rPr>
          <w:rFonts w:ascii="Times New Roman" w:hAnsi="Times New Roman" w:cs="Times New Roman"/>
        </w:rPr>
        <w:t xml:space="preserve">Los consultores se podrán asociar con otras firmas </w:t>
      </w:r>
      <w:r w:rsidR="00ED1DBC" w:rsidRPr="004D5D9A">
        <w:rPr>
          <w:rFonts w:ascii="Times New Roman" w:hAnsi="Times New Roman" w:cs="Times New Roman"/>
        </w:rPr>
        <w:t>para mejorar sus calificaci</w:t>
      </w:r>
      <w:r w:rsidR="001E6417" w:rsidRPr="004D5D9A">
        <w:rPr>
          <w:rFonts w:ascii="Times New Roman" w:hAnsi="Times New Roman" w:cs="Times New Roman"/>
        </w:rPr>
        <w:t>ones,</w:t>
      </w:r>
      <w:r w:rsidR="00ED1DBC" w:rsidRPr="004D5D9A">
        <w:rPr>
          <w:rFonts w:ascii="Times New Roman" w:hAnsi="Times New Roman" w:cs="Times New Roman"/>
        </w:rPr>
        <w:t xml:space="preserve"> pero en ese caso deberán indicar si la asociación es bajo la forma de una Asociación en Participación</w:t>
      </w:r>
      <w:r w:rsidR="001E6417" w:rsidRPr="004D5D9A">
        <w:rPr>
          <w:rFonts w:ascii="Times New Roman" w:hAnsi="Times New Roman" w:cs="Times New Roman"/>
        </w:rPr>
        <w:t>, Consorcio o Asociación</w:t>
      </w:r>
      <w:r w:rsidR="00ED1DBC" w:rsidRPr="004D5D9A">
        <w:rPr>
          <w:rFonts w:ascii="Times New Roman" w:hAnsi="Times New Roman" w:cs="Times New Roman"/>
        </w:rPr>
        <w:t xml:space="preserve"> (</w:t>
      </w:r>
      <w:r w:rsidR="001E6417" w:rsidRPr="004D5D9A">
        <w:rPr>
          <w:rFonts w:ascii="Times New Roman" w:hAnsi="Times New Roman" w:cs="Times New Roman"/>
        </w:rPr>
        <w:t>APCA</w:t>
      </w:r>
      <w:r w:rsidR="00ED1DBC" w:rsidRPr="004D5D9A">
        <w:rPr>
          <w:rFonts w:ascii="Times New Roman" w:hAnsi="Times New Roman" w:cs="Times New Roman"/>
        </w:rPr>
        <w:t xml:space="preserve">) y/o </w:t>
      </w:r>
      <w:r w:rsidR="00862793" w:rsidRPr="004D5D9A">
        <w:rPr>
          <w:rFonts w:ascii="Times New Roman" w:hAnsi="Times New Roman" w:cs="Times New Roman"/>
        </w:rPr>
        <w:t xml:space="preserve">bajo la forma de </w:t>
      </w:r>
      <w:r w:rsidR="00ED1DBC" w:rsidRPr="004D5D9A">
        <w:rPr>
          <w:rFonts w:ascii="Times New Roman" w:hAnsi="Times New Roman" w:cs="Times New Roman"/>
        </w:rPr>
        <w:t xml:space="preserve">una </w:t>
      </w:r>
      <w:proofErr w:type="spellStart"/>
      <w:r w:rsidR="00ED1DBC" w:rsidRPr="004D5D9A">
        <w:rPr>
          <w:rFonts w:ascii="Times New Roman" w:hAnsi="Times New Roman" w:cs="Times New Roman"/>
        </w:rPr>
        <w:t>subconsultoría</w:t>
      </w:r>
      <w:proofErr w:type="spellEnd"/>
      <w:r w:rsidR="00ED1DBC" w:rsidRPr="004D5D9A">
        <w:rPr>
          <w:rFonts w:ascii="Times New Roman" w:hAnsi="Times New Roman" w:cs="Times New Roman"/>
        </w:rPr>
        <w:t xml:space="preserve">. En el caso de una </w:t>
      </w:r>
      <w:r w:rsidR="008766E4" w:rsidRPr="004D5D9A">
        <w:rPr>
          <w:rFonts w:ascii="Times New Roman" w:hAnsi="Times New Roman" w:cs="Times New Roman"/>
        </w:rPr>
        <w:t>APCA</w:t>
      </w:r>
      <w:r w:rsidR="00ED1DBC" w:rsidRPr="004D5D9A">
        <w:rPr>
          <w:rFonts w:ascii="Times New Roman" w:hAnsi="Times New Roman" w:cs="Times New Roman"/>
        </w:rPr>
        <w:t xml:space="preserve">, todos los socios serán </w:t>
      </w:r>
      <w:r w:rsidR="001E6417" w:rsidRPr="004D5D9A">
        <w:rPr>
          <w:rFonts w:ascii="Times New Roman" w:hAnsi="Times New Roman" w:cs="Times New Roman"/>
        </w:rPr>
        <w:t>mancomunada y solidariamente responsables por la totalidad del contrato, si resultan seleccionados.</w:t>
      </w:r>
    </w:p>
    <w:p w14:paraId="2AAFDAA2" w14:textId="569EF4E4" w:rsidR="004D5D9A" w:rsidRDefault="009678D7" w:rsidP="00A32CBD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4D5D9A">
        <w:rPr>
          <w:rFonts w:ascii="Times New Roman" w:hAnsi="Times New Roman" w:cs="Times New Roman"/>
          <w:lang w:val="es-ES_tradnl"/>
        </w:rPr>
        <w:t>Un Consultor será seleccionado mediante el método de Selección Basado en Calidad y Costo (SBCC), como se lo describirá en el documento de Solicitud de Propuestas a ser emitido</w:t>
      </w:r>
      <w:r w:rsidR="00584CC6" w:rsidRPr="004D5D9A">
        <w:rPr>
          <w:rFonts w:ascii="Times New Roman" w:hAnsi="Times New Roman" w:cs="Times New Roman"/>
          <w:lang w:val="es-ES_tradnl"/>
        </w:rPr>
        <w:t xml:space="preserve"> una vez conformada la lista corta</w:t>
      </w:r>
      <w:r w:rsidRPr="004D5D9A">
        <w:rPr>
          <w:rFonts w:ascii="Times New Roman" w:hAnsi="Times New Roman" w:cs="Times New Roman"/>
          <w:lang w:val="es-ES_tradnl"/>
        </w:rPr>
        <w:t>.</w:t>
      </w:r>
      <w:r w:rsidR="004D5D9A" w:rsidRPr="004D5D9A">
        <w:rPr>
          <w:rFonts w:ascii="Times New Roman" w:hAnsi="Times New Roman" w:cs="Times New Roman"/>
          <w:lang w:val="es-ES_tradnl"/>
        </w:rPr>
        <w:t xml:space="preserve"> </w:t>
      </w:r>
      <w:r w:rsidR="004D5D9A" w:rsidRPr="004D5D9A">
        <w:rPr>
          <w:rFonts w:ascii="Times New Roman" w:hAnsi="Times New Roman" w:cs="Times New Roman"/>
        </w:rPr>
        <w:t>El personal clave de las firmas consultoras no será evaluado en la etapa de selección de la lista corta.</w:t>
      </w:r>
    </w:p>
    <w:p w14:paraId="5E1521AE" w14:textId="77777777" w:rsidR="00B05514" w:rsidRPr="004D5D9A" w:rsidRDefault="00B05514" w:rsidP="00A32CBD">
      <w:pPr>
        <w:spacing w:before="240" w:line="240" w:lineRule="auto"/>
        <w:jc w:val="both"/>
        <w:rPr>
          <w:rFonts w:ascii="Times New Roman" w:hAnsi="Times New Roman" w:cs="Times New Roman"/>
          <w:lang w:val="es-ES_tradnl"/>
        </w:rPr>
      </w:pPr>
      <w:r w:rsidRPr="004D5D9A">
        <w:rPr>
          <w:rFonts w:ascii="Times New Roman" w:hAnsi="Times New Roman" w:cs="Times New Roman"/>
          <w:lang w:val="es-ES_tradnl"/>
        </w:rPr>
        <w:t>Los consultores interesados pueden solicitar por escrito más información dirigiéndose a la dirección de correo electrónico o ingresando a la página web, indicados al final de este llamado.</w:t>
      </w:r>
    </w:p>
    <w:p w14:paraId="601E23BA" w14:textId="67FB35AB" w:rsidR="00EE31C4" w:rsidRPr="004D5D9A" w:rsidRDefault="00256A02" w:rsidP="00A32CBD">
      <w:pPr>
        <w:spacing w:before="240" w:line="240" w:lineRule="auto"/>
        <w:jc w:val="both"/>
        <w:rPr>
          <w:rFonts w:ascii="Times New Roman" w:hAnsi="Times New Roman" w:cs="Times New Roman"/>
          <w:i/>
          <w:lang w:val="es-ES_tradnl"/>
        </w:rPr>
      </w:pPr>
      <w:r w:rsidRPr="004D5D9A">
        <w:rPr>
          <w:rFonts w:ascii="Times New Roman" w:hAnsi="Times New Roman" w:cs="Times New Roman"/>
          <w:lang w:val="es-ES_tradnl"/>
        </w:rPr>
        <w:t>Las expresiones de interé</w:t>
      </w:r>
      <w:r w:rsidR="009678D7" w:rsidRPr="004D5D9A">
        <w:rPr>
          <w:rFonts w:ascii="Times New Roman" w:hAnsi="Times New Roman" w:cs="Times New Roman"/>
          <w:lang w:val="es-ES_tradnl"/>
        </w:rPr>
        <w:t>s deberán ser entregadas</w:t>
      </w:r>
      <w:r w:rsidRPr="004D5D9A">
        <w:rPr>
          <w:rFonts w:ascii="Times New Roman" w:hAnsi="Times New Roman" w:cs="Times New Roman"/>
          <w:lang w:val="es-ES_tradnl"/>
        </w:rPr>
        <w:t xml:space="preserve"> por escrito en la dirección indicada a continuación</w:t>
      </w:r>
      <w:r w:rsidR="00584CC6" w:rsidRPr="004D5D9A">
        <w:rPr>
          <w:rFonts w:ascii="Times New Roman" w:hAnsi="Times New Roman" w:cs="Times New Roman"/>
          <w:lang w:val="es-ES_tradnl"/>
        </w:rPr>
        <w:t xml:space="preserve"> </w:t>
      </w:r>
      <w:r w:rsidRPr="004D5D9A">
        <w:rPr>
          <w:rFonts w:ascii="Times New Roman" w:hAnsi="Times New Roman" w:cs="Times New Roman"/>
          <w:lang w:val="es-ES_tradnl"/>
        </w:rPr>
        <w:t>(personalmente, por correo, o por correo electrónico)</w:t>
      </w:r>
      <w:r w:rsidR="00B05514">
        <w:rPr>
          <w:rFonts w:ascii="Times New Roman" w:hAnsi="Times New Roman" w:cs="Times New Roman"/>
          <w:lang w:val="es-ES_tradnl"/>
        </w:rPr>
        <w:t>,</w:t>
      </w:r>
      <w:r w:rsidRPr="004D5D9A">
        <w:rPr>
          <w:rFonts w:ascii="Times New Roman" w:hAnsi="Times New Roman" w:cs="Times New Roman"/>
          <w:lang w:val="es-ES_tradnl"/>
        </w:rPr>
        <w:t xml:space="preserve"> a más tardar </w:t>
      </w:r>
      <w:r w:rsidR="00B05514">
        <w:rPr>
          <w:rFonts w:ascii="Times New Roman" w:hAnsi="Times New Roman" w:cs="Times New Roman"/>
          <w:lang w:val="es-ES_tradnl"/>
        </w:rPr>
        <w:t xml:space="preserve">hasta </w:t>
      </w:r>
      <w:r w:rsidRPr="004D5D9A">
        <w:rPr>
          <w:rFonts w:ascii="Times New Roman" w:hAnsi="Times New Roman" w:cs="Times New Roman"/>
          <w:lang w:val="es-ES_tradnl"/>
        </w:rPr>
        <w:t xml:space="preserve">el </w:t>
      </w:r>
      <w:r w:rsidR="001F2170" w:rsidRPr="004D5D9A">
        <w:rPr>
          <w:rFonts w:ascii="Times New Roman" w:hAnsi="Times New Roman" w:cs="Times New Roman"/>
          <w:lang w:val="es-ES_tradnl"/>
        </w:rPr>
        <w:t>12 de marzo del 2021</w:t>
      </w:r>
      <w:r w:rsidRPr="004D5D9A">
        <w:rPr>
          <w:rFonts w:ascii="Times New Roman" w:hAnsi="Times New Roman" w:cs="Times New Roman"/>
          <w:i/>
          <w:lang w:val="es-ES_tradnl"/>
        </w:rPr>
        <w:t>.</w:t>
      </w:r>
    </w:p>
    <w:p w14:paraId="7F4D6DC9" w14:textId="75B944A3" w:rsidR="00FA386C" w:rsidRPr="004D5D9A" w:rsidRDefault="00B05514" w:rsidP="00A32CBD">
      <w:pPr>
        <w:suppressAutoHyphens/>
        <w:spacing w:before="240" w:line="240" w:lineRule="auto"/>
        <w:rPr>
          <w:rFonts w:ascii="Times New Roman" w:hAnsi="Times New Roman" w:cs="Times New Roman"/>
          <w:b/>
          <w:iCs/>
          <w:spacing w:val="-2"/>
          <w:u w:val="single"/>
        </w:rPr>
      </w:pPr>
      <w:bookmarkStart w:id="1" w:name="_Hlk63767887"/>
      <w:r>
        <w:rPr>
          <w:rFonts w:ascii="Times New Roman" w:hAnsi="Times New Roman" w:cs="Times New Roman"/>
          <w:b/>
        </w:rPr>
        <w:t>Gobierno Autónomo Descentralizado Municipal del Cantón Manta</w:t>
      </w:r>
    </w:p>
    <w:p w14:paraId="2F3ED2D3" w14:textId="1971C8BC" w:rsidR="001A52DA" w:rsidRDefault="00B05514" w:rsidP="00A32CBD">
      <w:pPr>
        <w:suppressAutoHyphens/>
        <w:spacing w:before="240" w:after="0" w:line="240" w:lineRule="auto"/>
        <w:rPr>
          <w:iCs/>
          <w:spacing w:val="-2"/>
        </w:rPr>
      </w:pPr>
      <w:r>
        <w:rPr>
          <w:rFonts w:ascii="Times New Roman" w:hAnsi="Times New Roman" w:cs="Times New Roman"/>
          <w:b/>
          <w:iCs/>
          <w:spacing w:val="-2"/>
        </w:rPr>
        <w:lastRenderedPageBreak/>
        <w:t xml:space="preserve">Atención: </w:t>
      </w:r>
      <w:r w:rsidRPr="00B05514">
        <w:rPr>
          <w:rFonts w:ascii="Times New Roman" w:hAnsi="Times New Roman" w:cs="Times New Roman"/>
          <w:iCs/>
          <w:spacing w:val="-2"/>
        </w:rPr>
        <w:t>Ing. Emilio Macías Loor</w:t>
      </w:r>
      <w:r w:rsidR="001A52DA">
        <w:rPr>
          <w:rFonts w:ascii="Times New Roman" w:hAnsi="Times New Roman" w:cs="Times New Roman"/>
          <w:iCs/>
          <w:spacing w:val="-2"/>
        </w:rPr>
        <w:t xml:space="preserve">. </w:t>
      </w:r>
      <w:r w:rsidR="001A52DA">
        <w:rPr>
          <w:iCs/>
          <w:spacing w:val="-2"/>
        </w:rPr>
        <w:t>Delegado del Sr. Alcalde de Manta</w:t>
      </w:r>
    </w:p>
    <w:p w14:paraId="4D55DA37" w14:textId="7E8AD5F3" w:rsidR="00DE522D" w:rsidRPr="001A52DA" w:rsidRDefault="00DE522D" w:rsidP="001A52DA">
      <w:pPr>
        <w:suppressAutoHyphens/>
        <w:spacing w:after="0"/>
        <w:rPr>
          <w:iCs/>
          <w:spacing w:val="-2"/>
        </w:rPr>
      </w:pPr>
      <w:r w:rsidRPr="004D5D9A">
        <w:rPr>
          <w:rFonts w:ascii="Times New Roman" w:hAnsi="Times New Roman" w:cs="Times New Roman"/>
          <w:b/>
          <w:iCs/>
          <w:spacing w:val="-2"/>
        </w:rPr>
        <w:t>Dirección:</w:t>
      </w:r>
      <w:r w:rsidR="00B05514">
        <w:rPr>
          <w:rFonts w:ascii="Times New Roman" w:hAnsi="Times New Roman" w:cs="Times New Roman"/>
          <w:b/>
          <w:iCs/>
          <w:spacing w:val="-2"/>
        </w:rPr>
        <w:t xml:space="preserve"> </w:t>
      </w:r>
      <w:r w:rsidR="00B05514" w:rsidRPr="00B05514">
        <w:rPr>
          <w:rFonts w:ascii="Times New Roman" w:hAnsi="Times New Roman" w:cs="Times New Roman"/>
          <w:iCs/>
          <w:spacing w:val="-2"/>
        </w:rPr>
        <w:t>C</w:t>
      </w:r>
      <w:r w:rsidR="00EA258D" w:rsidRPr="004D5D9A">
        <w:rPr>
          <w:rFonts w:ascii="Times New Roman" w:hAnsi="Times New Roman" w:cs="Times New Roman"/>
          <w:bCs/>
          <w:iCs/>
          <w:spacing w:val="-2"/>
        </w:rPr>
        <w:t xml:space="preserve">alle 9 y </w:t>
      </w:r>
      <w:r w:rsidR="00B05514">
        <w:rPr>
          <w:rFonts w:ascii="Times New Roman" w:hAnsi="Times New Roman" w:cs="Times New Roman"/>
          <w:bCs/>
          <w:iCs/>
          <w:spacing w:val="-2"/>
        </w:rPr>
        <w:t>A</w:t>
      </w:r>
      <w:r w:rsidR="00EA258D" w:rsidRPr="004D5D9A">
        <w:rPr>
          <w:rFonts w:ascii="Times New Roman" w:hAnsi="Times New Roman" w:cs="Times New Roman"/>
          <w:bCs/>
          <w:iCs/>
          <w:spacing w:val="-2"/>
        </w:rPr>
        <w:t>venida 4</w:t>
      </w:r>
      <w:r w:rsidR="00B05514">
        <w:rPr>
          <w:rFonts w:ascii="Times New Roman" w:hAnsi="Times New Roman" w:cs="Times New Roman"/>
          <w:bCs/>
          <w:iCs/>
          <w:spacing w:val="-2"/>
        </w:rPr>
        <w:t>, Edificio GADM Manta</w:t>
      </w:r>
    </w:p>
    <w:p w14:paraId="71A15E6C" w14:textId="0A0B8002" w:rsidR="00DE522D" w:rsidRPr="004D5D9A" w:rsidRDefault="00DE522D" w:rsidP="001A52DA">
      <w:pPr>
        <w:suppressAutoHyphens/>
        <w:spacing w:after="0" w:line="240" w:lineRule="auto"/>
        <w:rPr>
          <w:rFonts w:ascii="Times New Roman" w:hAnsi="Times New Roman" w:cs="Times New Roman"/>
          <w:bCs/>
          <w:iCs/>
          <w:spacing w:val="-2"/>
        </w:rPr>
      </w:pPr>
      <w:r w:rsidRPr="004D5D9A">
        <w:rPr>
          <w:rFonts w:ascii="Times New Roman" w:hAnsi="Times New Roman" w:cs="Times New Roman"/>
          <w:b/>
          <w:iCs/>
          <w:spacing w:val="-2"/>
        </w:rPr>
        <w:t>Piso, departamento:</w:t>
      </w:r>
      <w:r w:rsidR="003F271F" w:rsidRPr="004D5D9A">
        <w:rPr>
          <w:rFonts w:ascii="Times New Roman" w:hAnsi="Times New Roman" w:cs="Times New Roman"/>
          <w:b/>
          <w:iCs/>
          <w:spacing w:val="-2"/>
        </w:rPr>
        <w:t xml:space="preserve"> </w:t>
      </w:r>
      <w:r w:rsidR="003F271F" w:rsidRPr="004D5D9A">
        <w:rPr>
          <w:rFonts w:ascii="Times New Roman" w:hAnsi="Times New Roman" w:cs="Times New Roman"/>
          <w:bCs/>
          <w:iCs/>
          <w:spacing w:val="-2"/>
        </w:rPr>
        <w:t xml:space="preserve">Dirección de </w:t>
      </w:r>
      <w:r w:rsidR="00B05514">
        <w:rPr>
          <w:rFonts w:ascii="Times New Roman" w:hAnsi="Times New Roman" w:cs="Times New Roman"/>
          <w:bCs/>
          <w:iCs/>
          <w:spacing w:val="-2"/>
        </w:rPr>
        <w:t>Compras Públicas del GADM Manta</w:t>
      </w:r>
    </w:p>
    <w:p w14:paraId="56B04B65" w14:textId="229133CD" w:rsidR="00DE522D" w:rsidRPr="004D5D9A" w:rsidRDefault="00DE522D" w:rsidP="001A52DA">
      <w:pPr>
        <w:suppressAutoHyphens/>
        <w:spacing w:after="0" w:line="240" w:lineRule="auto"/>
        <w:rPr>
          <w:rFonts w:ascii="Times New Roman" w:hAnsi="Times New Roman" w:cs="Times New Roman"/>
          <w:bCs/>
          <w:iCs/>
          <w:spacing w:val="-2"/>
        </w:rPr>
      </w:pPr>
      <w:r w:rsidRPr="00B05514">
        <w:rPr>
          <w:rFonts w:ascii="Times New Roman" w:hAnsi="Times New Roman" w:cs="Times New Roman"/>
          <w:b/>
          <w:bCs/>
          <w:iCs/>
          <w:spacing w:val="-2"/>
        </w:rPr>
        <w:t xml:space="preserve">Ciudad: </w:t>
      </w:r>
      <w:r w:rsidR="00EA258D" w:rsidRPr="004D5D9A">
        <w:rPr>
          <w:rFonts w:ascii="Times New Roman" w:hAnsi="Times New Roman" w:cs="Times New Roman"/>
          <w:bCs/>
          <w:iCs/>
          <w:spacing w:val="-2"/>
        </w:rPr>
        <w:t>Manta</w:t>
      </w:r>
    </w:p>
    <w:p w14:paraId="44494CC4" w14:textId="77777777" w:rsidR="00DE522D" w:rsidRPr="004D5D9A" w:rsidRDefault="00DE522D" w:rsidP="001A52DA">
      <w:pPr>
        <w:suppressAutoHyphens/>
        <w:spacing w:after="0" w:line="240" w:lineRule="auto"/>
        <w:rPr>
          <w:rFonts w:ascii="Times New Roman" w:hAnsi="Times New Roman" w:cs="Times New Roman"/>
          <w:b/>
          <w:iCs/>
          <w:spacing w:val="-2"/>
        </w:rPr>
      </w:pPr>
      <w:r w:rsidRPr="004D5D9A">
        <w:rPr>
          <w:rFonts w:ascii="Times New Roman" w:hAnsi="Times New Roman" w:cs="Times New Roman"/>
          <w:b/>
          <w:iCs/>
          <w:spacing w:val="-2"/>
        </w:rPr>
        <w:t xml:space="preserve">País: </w:t>
      </w:r>
      <w:r w:rsidRPr="004D5D9A">
        <w:rPr>
          <w:rFonts w:ascii="Times New Roman" w:hAnsi="Times New Roman" w:cs="Times New Roman"/>
          <w:bCs/>
          <w:iCs/>
          <w:spacing w:val="-2"/>
        </w:rPr>
        <w:t>Ecuador</w:t>
      </w:r>
    </w:p>
    <w:p w14:paraId="4B12C455" w14:textId="48D38F26" w:rsidR="00DE522D" w:rsidRPr="004D5D9A" w:rsidRDefault="00DE522D" w:rsidP="001A52DA">
      <w:pPr>
        <w:suppressAutoHyphens/>
        <w:spacing w:after="0" w:line="240" w:lineRule="auto"/>
        <w:rPr>
          <w:rFonts w:ascii="Times New Roman" w:hAnsi="Times New Roman" w:cs="Times New Roman"/>
          <w:b/>
          <w:i/>
          <w:spacing w:val="-2"/>
        </w:rPr>
      </w:pPr>
      <w:r w:rsidRPr="004D5D9A">
        <w:rPr>
          <w:rFonts w:ascii="Times New Roman" w:hAnsi="Times New Roman" w:cs="Times New Roman"/>
          <w:b/>
          <w:spacing w:val="-2"/>
        </w:rPr>
        <w:t xml:space="preserve">Tel: </w:t>
      </w:r>
      <w:r w:rsidR="00EA258D" w:rsidRPr="004D5D9A">
        <w:rPr>
          <w:rFonts w:ascii="Times New Roman" w:hAnsi="Times New Roman" w:cs="Times New Roman"/>
          <w:iCs/>
          <w:spacing w:val="-2"/>
        </w:rPr>
        <w:t>05</w:t>
      </w:r>
      <w:r w:rsidR="003F271F" w:rsidRPr="004D5D9A">
        <w:rPr>
          <w:rFonts w:ascii="Times New Roman" w:hAnsi="Times New Roman" w:cs="Times New Roman"/>
          <w:iCs/>
          <w:spacing w:val="-2"/>
        </w:rPr>
        <w:t xml:space="preserve"> </w:t>
      </w:r>
      <w:r w:rsidR="00EA258D" w:rsidRPr="004D5D9A">
        <w:rPr>
          <w:rFonts w:ascii="Times New Roman" w:hAnsi="Times New Roman" w:cs="Times New Roman"/>
          <w:iCs/>
          <w:spacing w:val="-2"/>
        </w:rPr>
        <w:t>2611 558 / 05</w:t>
      </w:r>
      <w:r w:rsidR="003F271F" w:rsidRPr="004D5D9A">
        <w:rPr>
          <w:rFonts w:ascii="Times New Roman" w:hAnsi="Times New Roman" w:cs="Times New Roman"/>
          <w:iCs/>
          <w:spacing w:val="-2"/>
        </w:rPr>
        <w:t xml:space="preserve"> </w:t>
      </w:r>
      <w:r w:rsidR="00EA258D" w:rsidRPr="004D5D9A">
        <w:rPr>
          <w:rFonts w:ascii="Times New Roman" w:hAnsi="Times New Roman" w:cs="Times New Roman"/>
          <w:iCs/>
          <w:spacing w:val="-2"/>
        </w:rPr>
        <w:t>2611 479</w:t>
      </w:r>
    </w:p>
    <w:p w14:paraId="2A02D582" w14:textId="19691233" w:rsidR="00DE522D" w:rsidRPr="004D5D9A" w:rsidRDefault="00DE522D" w:rsidP="001A52D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pacing w:val="-2"/>
        </w:rPr>
      </w:pPr>
      <w:r w:rsidRPr="004D5D9A">
        <w:rPr>
          <w:rFonts w:ascii="Times New Roman" w:hAnsi="Times New Roman" w:cs="Times New Roman"/>
          <w:b/>
          <w:spacing w:val="-2"/>
        </w:rPr>
        <w:t xml:space="preserve">E-mail: </w:t>
      </w:r>
      <w:bookmarkStart w:id="2" w:name="_Hlk63767867"/>
      <w:r w:rsidR="00DE1F26" w:rsidRPr="004D5D9A">
        <w:fldChar w:fldCharType="begin"/>
      </w:r>
      <w:r w:rsidR="00DE1F26" w:rsidRPr="004D5D9A">
        <w:rPr>
          <w:rFonts w:ascii="Times New Roman" w:hAnsi="Times New Roman" w:cs="Times New Roman"/>
        </w:rPr>
        <w:instrText xml:space="preserve"> HYPERLINK "mailto:procesosbei@manta.gob.ec" </w:instrText>
      </w:r>
      <w:r w:rsidR="00DE1F26" w:rsidRPr="004D5D9A">
        <w:fldChar w:fldCharType="separate"/>
      </w:r>
      <w:r w:rsidR="003F271F" w:rsidRPr="004D5D9A">
        <w:rPr>
          <w:rStyle w:val="Hipervnculo"/>
          <w:rFonts w:ascii="Times New Roman" w:hAnsi="Times New Roman" w:cs="Times New Roman"/>
        </w:rPr>
        <w:t>procesosbei@manta.gob.ec</w:t>
      </w:r>
      <w:r w:rsidR="00DE1F26" w:rsidRPr="004D5D9A">
        <w:rPr>
          <w:rStyle w:val="Hipervnculo"/>
          <w:rFonts w:ascii="Times New Roman" w:hAnsi="Times New Roman" w:cs="Times New Roman"/>
        </w:rPr>
        <w:fldChar w:fldCharType="end"/>
      </w:r>
      <w:r w:rsidRPr="004D5D9A">
        <w:rPr>
          <w:rFonts w:ascii="Times New Roman" w:hAnsi="Times New Roman" w:cs="Times New Roman"/>
          <w:b/>
          <w:spacing w:val="-2"/>
        </w:rPr>
        <w:t xml:space="preserve"> </w:t>
      </w:r>
      <w:bookmarkEnd w:id="2"/>
    </w:p>
    <w:p w14:paraId="49C5B3E4" w14:textId="57D2EA6A" w:rsidR="00DE522D" w:rsidRPr="004D5D9A" w:rsidRDefault="00DE522D" w:rsidP="001A52DA">
      <w:pPr>
        <w:tabs>
          <w:tab w:val="left" w:pos="-284"/>
        </w:tabs>
        <w:suppressAutoHyphens/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4D5D9A">
        <w:rPr>
          <w:rFonts w:ascii="Times New Roman" w:hAnsi="Times New Roman" w:cs="Times New Roman"/>
          <w:b/>
          <w:lang w:val="es-ES_tradnl"/>
        </w:rPr>
        <w:t xml:space="preserve">Página web: </w:t>
      </w:r>
      <w:hyperlink r:id="rId8" w:history="1">
        <w:r w:rsidR="003F271F" w:rsidRPr="004D5D9A">
          <w:rPr>
            <w:rStyle w:val="Hipervnculo"/>
            <w:rFonts w:ascii="Times New Roman" w:hAnsi="Times New Roman" w:cs="Times New Roman"/>
          </w:rPr>
          <w:t>www.manta.gob.ec</w:t>
        </w:r>
      </w:hyperlink>
      <w:bookmarkEnd w:id="1"/>
    </w:p>
    <w:sectPr w:rsidR="00DE522D" w:rsidRPr="004D5D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EFFFD" w14:textId="77777777" w:rsidR="0055587D" w:rsidRDefault="0055587D" w:rsidP="00C82FB1">
      <w:pPr>
        <w:spacing w:after="0" w:line="240" w:lineRule="auto"/>
      </w:pPr>
      <w:r>
        <w:separator/>
      </w:r>
    </w:p>
  </w:endnote>
  <w:endnote w:type="continuationSeparator" w:id="0">
    <w:p w14:paraId="2230C37C" w14:textId="77777777" w:rsidR="0055587D" w:rsidRDefault="0055587D" w:rsidP="00C8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DB3F1" w14:textId="77777777" w:rsidR="0055587D" w:rsidRDefault="0055587D" w:rsidP="00C82FB1">
      <w:pPr>
        <w:spacing w:after="0" w:line="240" w:lineRule="auto"/>
      </w:pPr>
      <w:r>
        <w:separator/>
      </w:r>
    </w:p>
  </w:footnote>
  <w:footnote w:type="continuationSeparator" w:id="0">
    <w:p w14:paraId="783D1538" w14:textId="77777777" w:rsidR="0055587D" w:rsidRDefault="0055587D" w:rsidP="00C82FB1">
      <w:pPr>
        <w:spacing w:after="0" w:line="240" w:lineRule="auto"/>
      </w:pPr>
      <w:r>
        <w:continuationSeparator/>
      </w:r>
    </w:p>
  </w:footnote>
  <w:footnote w:id="1">
    <w:p w14:paraId="56EBD6BF" w14:textId="2ADD1A60" w:rsidR="00C82FB1" w:rsidRPr="00C82FB1" w:rsidRDefault="00C82FB1">
      <w:pPr>
        <w:pStyle w:val="Textonotapie"/>
        <w:rPr>
          <w:lang w:val="es-EC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="00584CC6" w:rsidRPr="00697C31">
          <w:rPr>
            <w:rStyle w:val="Hipervnculo"/>
          </w:rPr>
          <w:t>https://www.eib.org/en/publications/guide-to-procurement</w:t>
        </w:r>
      </w:hyperlink>
      <w:r w:rsidR="00584CC6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0" type="#_x0000_t75" style="width:3in;height:3in" o:bullet="t"/>
    </w:pict>
  </w:numPicBullet>
  <w:numPicBullet w:numPicBulletId="1">
    <w:pict>
      <v:shape id="_x0000_i1191" type="#_x0000_t75" style="width:3in;height:3in" o:bullet="t"/>
    </w:pict>
  </w:numPicBullet>
  <w:abstractNum w:abstractNumId="0" w15:restartNumberingAfterBreak="0">
    <w:nsid w:val="00000008"/>
    <w:multiLevelType w:val="singleLevel"/>
    <w:tmpl w:val="DD6883C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</w:abstractNum>
  <w:abstractNum w:abstractNumId="1" w15:restartNumberingAfterBreak="0">
    <w:nsid w:val="336E50AA"/>
    <w:multiLevelType w:val="hybridMultilevel"/>
    <w:tmpl w:val="00646088"/>
    <w:lvl w:ilvl="0" w:tplc="64F817A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F70FB"/>
    <w:multiLevelType w:val="hybridMultilevel"/>
    <w:tmpl w:val="42426AEC"/>
    <w:lvl w:ilvl="0" w:tplc="300A001B">
      <w:start w:val="1"/>
      <w:numFmt w:val="lowerRoman"/>
      <w:lvlText w:val="%1."/>
      <w:lvlJc w:val="righ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5337F"/>
    <w:multiLevelType w:val="hybridMultilevel"/>
    <w:tmpl w:val="B274BF02"/>
    <w:lvl w:ilvl="0" w:tplc="0C0A000D">
      <w:start w:val="1"/>
      <w:numFmt w:val="bullet"/>
      <w:lvlText w:val=""/>
      <w:lvlJc w:val="left"/>
      <w:pPr>
        <w:ind w:left="26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C37025"/>
    <w:multiLevelType w:val="hybridMultilevel"/>
    <w:tmpl w:val="3C620236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1C9"/>
    <w:rsid w:val="00017541"/>
    <w:rsid w:val="00052DCD"/>
    <w:rsid w:val="00066588"/>
    <w:rsid w:val="00067140"/>
    <w:rsid w:val="000832F1"/>
    <w:rsid w:val="000E500E"/>
    <w:rsid w:val="000F1540"/>
    <w:rsid w:val="001108D9"/>
    <w:rsid w:val="00133D47"/>
    <w:rsid w:val="001516DB"/>
    <w:rsid w:val="0015177D"/>
    <w:rsid w:val="001A52DA"/>
    <w:rsid w:val="001B1EAB"/>
    <w:rsid w:val="001C0C09"/>
    <w:rsid w:val="001E6417"/>
    <w:rsid w:val="001E772C"/>
    <w:rsid w:val="001F2170"/>
    <w:rsid w:val="00206372"/>
    <w:rsid w:val="00230FE6"/>
    <w:rsid w:val="00231022"/>
    <w:rsid w:val="002440FF"/>
    <w:rsid w:val="00256A02"/>
    <w:rsid w:val="0027291D"/>
    <w:rsid w:val="002A0CD6"/>
    <w:rsid w:val="002C0391"/>
    <w:rsid w:val="002C3110"/>
    <w:rsid w:val="002C356D"/>
    <w:rsid w:val="002D09B0"/>
    <w:rsid w:val="003134EE"/>
    <w:rsid w:val="00342EAC"/>
    <w:rsid w:val="0034798C"/>
    <w:rsid w:val="00372DEF"/>
    <w:rsid w:val="00376C63"/>
    <w:rsid w:val="00386F50"/>
    <w:rsid w:val="003968F1"/>
    <w:rsid w:val="003A1115"/>
    <w:rsid w:val="003D056C"/>
    <w:rsid w:val="003D27F6"/>
    <w:rsid w:val="003E49A9"/>
    <w:rsid w:val="003F271F"/>
    <w:rsid w:val="0044302E"/>
    <w:rsid w:val="004450F1"/>
    <w:rsid w:val="0048496E"/>
    <w:rsid w:val="00495B04"/>
    <w:rsid w:val="004A4B72"/>
    <w:rsid w:val="004C2FCE"/>
    <w:rsid w:val="004D10A9"/>
    <w:rsid w:val="004D2486"/>
    <w:rsid w:val="004D5D9A"/>
    <w:rsid w:val="00550F01"/>
    <w:rsid w:val="0055587D"/>
    <w:rsid w:val="005619F5"/>
    <w:rsid w:val="005674F8"/>
    <w:rsid w:val="0057132F"/>
    <w:rsid w:val="00575794"/>
    <w:rsid w:val="00583A79"/>
    <w:rsid w:val="00584CC6"/>
    <w:rsid w:val="005D28AF"/>
    <w:rsid w:val="005E6269"/>
    <w:rsid w:val="00652DF0"/>
    <w:rsid w:val="006B0298"/>
    <w:rsid w:val="006D4CB1"/>
    <w:rsid w:val="006F01C8"/>
    <w:rsid w:val="007110F5"/>
    <w:rsid w:val="007801C9"/>
    <w:rsid w:val="00793958"/>
    <w:rsid w:val="007B255E"/>
    <w:rsid w:val="0085785C"/>
    <w:rsid w:val="00861696"/>
    <w:rsid w:val="00862793"/>
    <w:rsid w:val="008766E4"/>
    <w:rsid w:val="0089530F"/>
    <w:rsid w:val="00895BD4"/>
    <w:rsid w:val="00904DDA"/>
    <w:rsid w:val="00914604"/>
    <w:rsid w:val="009678D7"/>
    <w:rsid w:val="00980500"/>
    <w:rsid w:val="00980E9B"/>
    <w:rsid w:val="00991890"/>
    <w:rsid w:val="009A3958"/>
    <w:rsid w:val="009C175E"/>
    <w:rsid w:val="009C4497"/>
    <w:rsid w:val="009D299B"/>
    <w:rsid w:val="009E397D"/>
    <w:rsid w:val="009E4A34"/>
    <w:rsid w:val="009F479B"/>
    <w:rsid w:val="00A228D5"/>
    <w:rsid w:val="00A32CBD"/>
    <w:rsid w:val="00A669B5"/>
    <w:rsid w:val="00A732EF"/>
    <w:rsid w:val="00A76DF7"/>
    <w:rsid w:val="00A91FE5"/>
    <w:rsid w:val="00A92EF6"/>
    <w:rsid w:val="00A94AD8"/>
    <w:rsid w:val="00AA51B9"/>
    <w:rsid w:val="00AA7AE3"/>
    <w:rsid w:val="00AD2EB3"/>
    <w:rsid w:val="00B03085"/>
    <w:rsid w:val="00B05514"/>
    <w:rsid w:val="00B21721"/>
    <w:rsid w:val="00B23BBB"/>
    <w:rsid w:val="00B66C22"/>
    <w:rsid w:val="00B7300E"/>
    <w:rsid w:val="00B7689E"/>
    <w:rsid w:val="00B81F4A"/>
    <w:rsid w:val="00BC1AAC"/>
    <w:rsid w:val="00BD603C"/>
    <w:rsid w:val="00BF573A"/>
    <w:rsid w:val="00BF7627"/>
    <w:rsid w:val="00C11395"/>
    <w:rsid w:val="00C12427"/>
    <w:rsid w:val="00C13356"/>
    <w:rsid w:val="00C47251"/>
    <w:rsid w:val="00C477E4"/>
    <w:rsid w:val="00C82961"/>
    <w:rsid w:val="00C82FB1"/>
    <w:rsid w:val="00CE46CE"/>
    <w:rsid w:val="00CF4E60"/>
    <w:rsid w:val="00D225AB"/>
    <w:rsid w:val="00D33951"/>
    <w:rsid w:val="00D4543D"/>
    <w:rsid w:val="00D508D5"/>
    <w:rsid w:val="00D55A30"/>
    <w:rsid w:val="00D571D2"/>
    <w:rsid w:val="00D668DA"/>
    <w:rsid w:val="00DC5A9A"/>
    <w:rsid w:val="00DD152A"/>
    <w:rsid w:val="00DD676C"/>
    <w:rsid w:val="00DE1F26"/>
    <w:rsid w:val="00DE522D"/>
    <w:rsid w:val="00E41C35"/>
    <w:rsid w:val="00E43AF9"/>
    <w:rsid w:val="00E43F92"/>
    <w:rsid w:val="00E47648"/>
    <w:rsid w:val="00EA1BD6"/>
    <w:rsid w:val="00EA258D"/>
    <w:rsid w:val="00ED1DBC"/>
    <w:rsid w:val="00EE31C4"/>
    <w:rsid w:val="00EF324B"/>
    <w:rsid w:val="00F31625"/>
    <w:rsid w:val="00F36881"/>
    <w:rsid w:val="00F574F8"/>
    <w:rsid w:val="00F70C06"/>
    <w:rsid w:val="00FA386C"/>
    <w:rsid w:val="00FA4DD4"/>
    <w:rsid w:val="00FB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6394FB"/>
  <w15:chartTrackingRefBased/>
  <w15:docId w15:val="{8A78A4A6-72D9-44CB-90E3-71A21B14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D27F6"/>
    <w:pPr>
      <w:keepNext/>
      <w:keepLines/>
      <w:spacing w:before="240" w:after="240" w:line="240" w:lineRule="auto"/>
      <w:jc w:val="center"/>
      <w:outlineLvl w:val="0"/>
    </w:pPr>
    <w:rPr>
      <w:rFonts w:ascii="Times New Roman Bold" w:eastAsia="Times New Roman" w:hAnsi="Times New Roman Bold" w:cs="Times New Roman"/>
      <w:b/>
      <w:sz w:val="32"/>
      <w:szCs w:val="20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rsid w:val="0025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5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6A0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256A0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625"/>
    <w:rPr>
      <w:rFonts w:ascii="Segoe UI" w:hAnsi="Segoe UI" w:cs="Segoe UI"/>
      <w:sz w:val="18"/>
      <w:szCs w:val="18"/>
    </w:rPr>
  </w:style>
  <w:style w:type="paragraph" w:customStyle="1" w:styleId="BankNormal">
    <w:name w:val="BankNormal"/>
    <w:basedOn w:val="Normal"/>
    <w:rsid w:val="00DE522D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3A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3A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3A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3A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3A79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3D27F6"/>
    <w:rPr>
      <w:rFonts w:ascii="Times New Roman Bold" w:eastAsia="Times New Roman" w:hAnsi="Times New Roman Bold" w:cs="Times New Roman"/>
      <w:b/>
      <w:sz w:val="32"/>
      <w:szCs w:val="20"/>
      <w:lang w:eastAsia="es-ES" w:bidi="es-ES"/>
    </w:rPr>
  </w:style>
  <w:style w:type="paragraph" w:styleId="Sinespaciado">
    <w:name w:val="No Spacing"/>
    <w:aliases w:val="Normal Sangria"/>
    <w:link w:val="SinespaciadoCar"/>
    <w:uiPriority w:val="1"/>
    <w:qFormat/>
    <w:rsid w:val="003D27F6"/>
    <w:pPr>
      <w:spacing w:after="0" w:line="240" w:lineRule="auto"/>
    </w:pPr>
    <w:rPr>
      <w:rFonts w:ascii="Calibri" w:eastAsia="Times New Roman" w:hAnsi="Calibri" w:cs="Times New Roman"/>
      <w:lang w:val="es-EC" w:eastAsia="es-EC"/>
    </w:rPr>
  </w:style>
  <w:style w:type="character" w:customStyle="1" w:styleId="SinespaciadoCar">
    <w:name w:val="Sin espaciado Car"/>
    <w:aliases w:val="Normal Sangria Car"/>
    <w:link w:val="Sinespaciado"/>
    <w:uiPriority w:val="1"/>
    <w:rsid w:val="003D27F6"/>
    <w:rPr>
      <w:rFonts w:ascii="Calibri" w:eastAsia="Times New Roman" w:hAnsi="Calibri" w:cs="Times New Roman"/>
      <w:lang w:val="es-EC" w:eastAsia="es-EC"/>
    </w:rPr>
  </w:style>
  <w:style w:type="paragraph" w:customStyle="1" w:styleId="Standard">
    <w:name w:val="Standard"/>
    <w:rsid w:val="003D27F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C" w:eastAsia="zh-CN"/>
    </w:rPr>
  </w:style>
  <w:style w:type="paragraph" w:styleId="Prrafodelista">
    <w:name w:val="List Paragraph"/>
    <w:aliases w:val="Citation List,본문(내용),List Paragraph (numbered (a)),Colorful List - Accent 11,TIT 2 IND,Titulo 1,tEXTO,AATITULO,Subtitulo1,INDICE,Titulo 2,Párrafo de Viñeta,lp1,Bullet 1,Use Case List Paragraph,Bullet List,FooterText,numbered,Texto"/>
    <w:basedOn w:val="Normal"/>
    <w:link w:val="PrrafodelistaCar"/>
    <w:uiPriority w:val="34"/>
    <w:qFormat/>
    <w:rsid w:val="00D571D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character" w:customStyle="1" w:styleId="PrrafodelistaCar">
    <w:name w:val="Párrafo de lista Car"/>
    <w:aliases w:val="Citation List Car,본문(내용) Car,List Paragraph (numbered (a)) Car,Colorful List - Accent 11 Car,TIT 2 IND Car,Titulo 1 Car,tEXTO Car,AATITULO Car,Subtitulo1 Car,INDICE Car,Titulo 2 Car,Párrafo de Viñeta Car,lp1 Car,Bullet 1 Car"/>
    <w:basedOn w:val="Fuentedeprrafopredeter"/>
    <w:link w:val="Prrafodelista"/>
    <w:uiPriority w:val="34"/>
    <w:locked/>
    <w:rsid w:val="00D571D2"/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2F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2F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82FB1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84CC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7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1">
    <w:name w:val="Párrafo de lista Car1"/>
    <w:aliases w:val="TIT 2 IND Car1,Titulo 1 Car1,tEXTO Car1,AATITULO Car1,Subtitulo1 Car1,INDICE Car1,Titulo 2 Car1,Párrafo de Viñeta Car1,lp1 Car1,Bullet 1 Car1,Use Case List Paragraph Car1,Bullet List Car1,FooterText Car1,numbered Car1,Texto Car"/>
    <w:uiPriority w:val="34"/>
    <w:locked/>
    <w:rsid w:val="003F271F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ta.gob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ib.org/en/publications/guide-to-procure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5B793-F46E-4EA9-A490-030FC109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1077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Lugea</dc:creator>
  <cp:keywords/>
  <dc:description/>
  <cp:lastModifiedBy>Fabian Gómez</cp:lastModifiedBy>
  <cp:revision>14</cp:revision>
  <dcterms:created xsi:type="dcterms:W3CDTF">2021-02-09T20:44:00Z</dcterms:created>
  <dcterms:modified xsi:type="dcterms:W3CDTF">2021-02-22T15:32:00Z</dcterms:modified>
</cp:coreProperties>
</file>